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258" w:lineRule="auto"/>
      </w:pPr>
    </w:p>
    <w:p>
      <w:pPr>
        <w:pStyle w:val="5"/>
        <w:spacing w:line="258" w:lineRule="auto"/>
      </w:pPr>
    </w:p>
    <w:p>
      <w:pPr>
        <w:pStyle w:val="5"/>
        <w:spacing w:line="258" w:lineRule="auto"/>
      </w:pPr>
    </w:p>
    <w:p>
      <w:pPr>
        <w:pStyle w:val="5"/>
        <w:spacing w:line="258" w:lineRule="auto"/>
      </w:pPr>
    </w:p>
    <w:p>
      <w:pPr>
        <w:spacing w:before="143" w:line="219" w:lineRule="auto"/>
        <w:ind w:left="0" w:leftChars="0" w:firstLine="0" w:firstLineChars="0"/>
        <w:jc w:val="center"/>
        <w:rPr>
          <w:rFonts w:ascii="宋体" w:hAnsi="宋体" w:eastAsia="宋体" w:cs="宋体"/>
          <w:sz w:val="44"/>
          <w:szCs w:val="44"/>
        </w:rPr>
      </w:pPr>
      <w:r>
        <w:rPr>
          <w:rFonts w:ascii="宋体" w:hAnsi="宋体" w:eastAsia="宋体" w:cs="宋体"/>
          <w:b/>
          <w:bCs/>
          <w:spacing w:val="-2"/>
          <w:sz w:val="44"/>
          <w:szCs w:val="44"/>
        </w:rPr>
        <w:t>江苏省水利建设工程有限公司</w:t>
      </w:r>
    </w:p>
    <w:p>
      <w:pPr>
        <w:pStyle w:val="5"/>
        <w:spacing w:line="246" w:lineRule="auto"/>
        <w:jc w:val="both"/>
      </w:pPr>
    </w:p>
    <w:p>
      <w:pPr>
        <w:pStyle w:val="5"/>
        <w:spacing w:line="246" w:lineRule="auto"/>
        <w:jc w:val="both"/>
      </w:pPr>
    </w:p>
    <w:p>
      <w:pPr>
        <w:spacing w:line="2970" w:lineRule="exact"/>
        <w:ind w:firstLine="2649"/>
      </w:pPr>
      <w:r>
        <w:rPr>
          <w:position w:val="-59"/>
        </w:rPr>
        <w:drawing>
          <wp:anchor distT="0" distB="0" distL="0" distR="0" simplePos="0" relativeHeight="251659264" behindDoc="1" locked="0" layoutInCell="1" allowOverlap="1">
            <wp:simplePos x="0" y="0"/>
            <wp:positionH relativeFrom="column">
              <wp:posOffset>2038350</wp:posOffset>
            </wp:positionH>
            <wp:positionV relativeFrom="paragraph">
              <wp:posOffset>549910</wp:posOffset>
            </wp:positionV>
            <wp:extent cx="2152650" cy="1885315"/>
            <wp:effectExtent l="0" t="0" r="6350" b="6985"/>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6"/>
                    <a:stretch>
                      <a:fillRect/>
                    </a:stretch>
                  </pic:blipFill>
                  <pic:spPr>
                    <a:xfrm>
                      <a:off x="0" y="0"/>
                      <a:ext cx="2152689" cy="1885887"/>
                    </a:xfrm>
                    <a:prstGeom prst="rect">
                      <a:avLst/>
                    </a:prstGeom>
                  </pic:spPr>
                </pic:pic>
              </a:graphicData>
            </a:graphic>
          </wp:anchor>
        </w:drawing>
      </w:r>
    </w:p>
    <w:p>
      <w:pPr>
        <w:pStyle w:val="5"/>
        <w:spacing w:line="246" w:lineRule="auto"/>
      </w:pPr>
    </w:p>
    <w:p>
      <w:pPr>
        <w:pStyle w:val="5"/>
        <w:spacing w:line="246" w:lineRule="auto"/>
      </w:pPr>
    </w:p>
    <w:p>
      <w:pPr>
        <w:pStyle w:val="5"/>
        <w:spacing w:line="246" w:lineRule="auto"/>
      </w:pPr>
    </w:p>
    <w:p>
      <w:pPr>
        <w:pStyle w:val="5"/>
        <w:spacing w:line="246" w:lineRule="auto"/>
      </w:pPr>
    </w:p>
    <w:p>
      <w:pPr>
        <w:pStyle w:val="5"/>
        <w:spacing w:line="247" w:lineRule="auto"/>
      </w:pPr>
    </w:p>
    <w:p>
      <w:pPr>
        <w:pStyle w:val="5"/>
        <w:spacing w:line="247" w:lineRule="auto"/>
      </w:pPr>
    </w:p>
    <w:p>
      <w:pPr>
        <w:pStyle w:val="5"/>
        <w:spacing w:line="247" w:lineRule="auto"/>
      </w:pPr>
    </w:p>
    <w:p>
      <w:pPr>
        <w:pStyle w:val="5"/>
        <w:spacing w:line="247" w:lineRule="auto"/>
      </w:pPr>
    </w:p>
    <w:p>
      <w:pPr>
        <w:spacing w:before="159" w:line="219" w:lineRule="auto"/>
        <w:ind w:left="0" w:leftChars="0" w:firstLine="0" w:firstLineChars="0"/>
        <w:jc w:val="center"/>
        <w:outlineLvl w:val="0"/>
        <w:rPr>
          <w:rFonts w:ascii="宋体" w:hAnsi="宋体" w:eastAsia="宋体" w:cs="宋体"/>
          <w:sz w:val="49"/>
          <w:szCs w:val="49"/>
        </w:rPr>
      </w:pPr>
      <w:r>
        <w:rPr>
          <w:rFonts w:hint="eastAsia" w:ascii="宋体" w:hAnsi="宋体" w:cs="宋体"/>
          <w:b/>
          <w:bCs/>
          <w:spacing w:val="-22"/>
          <w:sz w:val="49"/>
          <w:szCs w:val="49"/>
          <w:lang w:val="en-US" w:eastAsia="zh-CN"/>
        </w:rPr>
        <w:t>钢筋采购</w:t>
      </w:r>
      <w:r>
        <w:rPr>
          <w:rFonts w:ascii="宋体" w:hAnsi="宋体" w:eastAsia="宋体" w:cs="宋体"/>
          <w:b/>
          <w:bCs/>
          <w:spacing w:val="-22"/>
          <w:sz w:val="49"/>
          <w:szCs w:val="49"/>
        </w:rPr>
        <w:t>招标文件</w:t>
      </w:r>
    </w:p>
    <w:p>
      <w:pPr>
        <w:pStyle w:val="5"/>
        <w:spacing w:line="258" w:lineRule="auto"/>
      </w:pPr>
    </w:p>
    <w:p>
      <w:pPr>
        <w:pStyle w:val="5"/>
        <w:spacing w:line="259" w:lineRule="auto"/>
      </w:pPr>
    </w:p>
    <w:p>
      <w:pPr>
        <w:pStyle w:val="5"/>
        <w:spacing w:line="259" w:lineRule="auto"/>
      </w:pPr>
    </w:p>
    <w:p>
      <w:pPr>
        <w:pStyle w:val="5"/>
        <w:spacing w:line="259" w:lineRule="auto"/>
      </w:pPr>
    </w:p>
    <w:p>
      <w:pPr>
        <w:pStyle w:val="5"/>
        <w:spacing w:line="259" w:lineRule="auto"/>
      </w:pPr>
    </w:p>
    <w:p>
      <w:pPr>
        <w:pStyle w:val="5"/>
        <w:spacing w:line="259" w:lineRule="auto"/>
      </w:pPr>
    </w:p>
    <w:p>
      <w:pPr>
        <w:pStyle w:val="5"/>
        <w:spacing w:line="259" w:lineRule="auto"/>
      </w:pPr>
    </w:p>
    <w:p>
      <w:pPr>
        <w:keepNext w:val="0"/>
        <w:keepLines w:val="0"/>
        <w:pageBreakBefore w:val="0"/>
        <w:widowControl/>
        <w:kinsoku/>
        <w:wordWrap/>
        <w:overflowPunct/>
        <w:topLinePunct w:val="0"/>
        <w:autoSpaceDE/>
        <w:autoSpaceDN/>
        <w:bidi w:val="0"/>
        <w:adjustRightInd/>
        <w:snapToGrid/>
        <w:spacing w:before="78" w:line="500" w:lineRule="exact"/>
        <w:textAlignment w:val="auto"/>
        <w:rPr>
          <w:rFonts w:ascii="宋体" w:hAnsi="宋体" w:eastAsia="宋体" w:cs="宋体"/>
          <w:b w:val="0"/>
          <w:bCs w:val="0"/>
          <w:sz w:val="24"/>
          <w:szCs w:val="24"/>
        </w:rPr>
      </w:pPr>
      <w:r>
        <w:rPr>
          <w:rFonts w:ascii="宋体" w:hAnsi="宋体" w:eastAsia="宋体" w:cs="宋体"/>
          <w:b w:val="0"/>
          <w:bCs w:val="0"/>
          <w:spacing w:val="3"/>
          <w:sz w:val="24"/>
          <w:szCs w:val="24"/>
        </w:rPr>
        <w:t>招标项目：</w:t>
      </w:r>
      <w:r>
        <w:rPr>
          <w:rFonts w:hint="eastAsia" w:ascii="宋体" w:hAnsi="宋体" w:cs="宋体"/>
          <w:b w:val="0"/>
          <w:bCs w:val="0"/>
          <w:spacing w:val="3"/>
          <w:sz w:val="24"/>
          <w:szCs w:val="24"/>
          <w:lang w:val="en-US" w:eastAsia="zh-CN"/>
        </w:rPr>
        <w:t>洪泽湖周边滞洪区近期建设工程（泗洪县）施工16标</w:t>
      </w:r>
    </w:p>
    <w:p>
      <w:pPr>
        <w:pStyle w:val="5"/>
        <w:spacing w:line="336" w:lineRule="auto"/>
        <w:ind w:left="0" w:leftChars="0" w:firstLine="0" w:firstLineChars="0"/>
        <w:rPr>
          <w:b w:val="0"/>
          <w:bCs w:val="0"/>
        </w:rPr>
      </w:pPr>
    </w:p>
    <w:p>
      <w:pPr>
        <w:spacing w:before="79" w:line="219" w:lineRule="auto"/>
        <w:ind w:left="3"/>
        <w:rPr>
          <w:rFonts w:ascii="宋体" w:hAnsi="宋体" w:eastAsia="宋体" w:cs="宋体"/>
          <w:b w:val="0"/>
          <w:bCs w:val="0"/>
          <w:spacing w:val="5"/>
          <w:sz w:val="24"/>
          <w:szCs w:val="24"/>
          <w:u w:val="none" w:color="auto"/>
        </w:rPr>
      </w:pPr>
      <w:r>
        <w:rPr>
          <w:rFonts w:ascii="宋体" w:hAnsi="宋体" w:eastAsia="宋体" w:cs="宋体"/>
          <w:b w:val="0"/>
          <w:bCs w:val="0"/>
          <w:spacing w:val="5"/>
          <w:sz w:val="24"/>
          <w:szCs w:val="24"/>
          <w:u w:val="none" w:color="auto"/>
        </w:rPr>
        <w:t>招 标 人 ：江苏省水利建设工程有限公司</w:t>
      </w:r>
    </w:p>
    <w:p>
      <w:pPr>
        <w:spacing w:before="79" w:line="219" w:lineRule="auto"/>
        <w:ind w:left="3"/>
        <w:rPr>
          <w:rFonts w:ascii="宋体" w:hAnsi="宋体" w:eastAsia="宋体" w:cs="宋体"/>
          <w:b w:val="0"/>
          <w:bCs w:val="0"/>
          <w:spacing w:val="5"/>
          <w:sz w:val="24"/>
          <w:szCs w:val="24"/>
          <w:u w:val="none" w:color="auto"/>
        </w:rPr>
      </w:pPr>
    </w:p>
    <w:p>
      <w:pPr>
        <w:spacing w:before="79" w:line="219" w:lineRule="auto"/>
        <w:ind w:left="3"/>
        <w:rPr>
          <w:rFonts w:hint="eastAsia" w:ascii="宋体" w:hAnsi="宋体" w:cs="宋体"/>
          <w:b w:val="0"/>
          <w:bCs w:val="0"/>
          <w:spacing w:val="5"/>
          <w:sz w:val="24"/>
          <w:szCs w:val="24"/>
          <w:u w:val="none" w:color="auto"/>
          <w:lang w:val="en-US" w:eastAsia="zh-CN"/>
        </w:rPr>
      </w:pPr>
      <w:r>
        <w:rPr>
          <w:rFonts w:hint="eastAsia" w:ascii="宋体" w:hAnsi="宋体" w:cs="宋体"/>
          <w:b w:val="0"/>
          <w:bCs w:val="0"/>
          <w:spacing w:val="5"/>
          <w:sz w:val="24"/>
          <w:szCs w:val="24"/>
          <w:u w:val="none" w:color="auto"/>
          <w:lang w:val="en-US" w:eastAsia="zh-CN"/>
        </w:rPr>
        <w:t>招标内容：钢筋采购</w:t>
      </w:r>
    </w:p>
    <w:p>
      <w:pPr>
        <w:spacing w:before="79" w:line="219" w:lineRule="auto"/>
        <w:ind w:left="3"/>
        <w:rPr>
          <w:rFonts w:hint="eastAsia" w:ascii="宋体" w:hAnsi="宋体" w:cs="宋体"/>
          <w:b w:val="0"/>
          <w:bCs w:val="0"/>
          <w:spacing w:val="5"/>
          <w:sz w:val="24"/>
          <w:szCs w:val="24"/>
          <w:u w:val="none" w:color="auto"/>
          <w:lang w:val="en-US" w:eastAsia="zh-CN"/>
        </w:rPr>
      </w:pPr>
    </w:p>
    <w:p>
      <w:pPr>
        <w:keepNext w:val="0"/>
        <w:keepLines w:val="0"/>
        <w:pageBreakBefore w:val="0"/>
        <w:widowControl/>
        <w:kinsoku/>
        <w:wordWrap/>
        <w:overflowPunct/>
        <w:topLinePunct w:val="0"/>
        <w:autoSpaceDE/>
        <w:autoSpaceDN/>
        <w:bidi w:val="0"/>
        <w:adjustRightInd/>
        <w:snapToGrid/>
        <w:spacing w:before="78" w:line="500" w:lineRule="exact"/>
        <w:textAlignment w:val="auto"/>
        <w:rPr>
          <w:rFonts w:hint="eastAsia" w:ascii="宋体" w:hAnsi="宋体" w:cs="宋体"/>
          <w:b w:val="0"/>
          <w:bCs w:val="0"/>
          <w:spacing w:val="3"/>
          <w:sz w:val="24"/>
          <w:szCs w:val="24"/>
          <w:lang w:val="en-US" w:eastAsia="zh-CN"/>
        </w:rPr>
      </w:pPr>
      <w:r>
        <w:rPr>
          <w:rFonts w:hint="eastAsia" w:ascii="宋体" w:hAnsi="宋体" w:cs="宋体"/>
          <w:b w:val="0"/>
          <w:bCs w:val="0"/>
          <w:spacing w:val="5"/>
          <w:sz w:val="24"/>
          <w:szCs w:val="24"/>
          <w:u w:val="none" w:color="auto"/>
          <w:lang w:val="en-US" w:eastAsia="zh-CN"/>
        </w:rPr>
        <w:t>现场管理机构：</w:t>
      </w:r>
      <w:r>
        <w:rPr>
          <w:rFonts w:hint="eastAsia" w:ascii="宋体" w:hAnsi="宋体" w:cs="宋体"/>
          <w:b w:val="0"/>
          <w:bCs w:val="0"/>
          <w:spacing w:val="3"/>
          <w:sz w:val="24"/>
          <w:szCs w:val="24"/>
          <w:lang w:val="en-US" w:eastAsia="zh-CN"/>
        </w:rPr>
        <w:t>江苏省水利建设工程有限公司洪泽湖周边滞洪区近期建设工程</w:t>
      </w:r>
    </w:p>
    <w:p>
      <w:pPr>
        <w:spacing w:before="79" w:line="219" w:lineRule="auto"/>
        <w:ind w:left="3"/>
        <w:rPr>
          <w:rFonts w:hint="default" w:ascii="宋体" w:hAnsi="宋体" w:cs="宋体"/>
          <w:b w:val="0"/>
          <w:bCs w:val="0"/>
          <w:spacing w:val="5"/>
          <w:sz w:val="24"/>
          <w:szCs w:val="24"/>
          <w:u w:val="none" w:color="auto"/>
          <w:lang w:val="en-US" w:eastAsia="zh-CN"/>
        </w:rPr>
      </w:pPr>
      <w:r>
        <w:rPr>
          <w:rFonts w:hint="eastAsia" w:ascii="宋体" w:hAnsi="宋体" w:cs="宋体"/>
          <w:b w:val="0"/>
          <w:bCs w:val="0"/>
          <w:spacing w:val="3"/>
          <w:sz w:val="24"/>
          <w:szCs w:val="24"/>
          <w:lang w:val="en-US" w:eastAsia="zh-CN"/>
        </w:rPr>
        <w:t>（泗洪县）施工16标项目经理部</w:t>
      </w:r>
    </w:p>
    <w:p>
      <w:pPr>
        <w:pStyle w:val="5"/>
        <w:spacing w:line="315" w:lineRule="auto"/>
        <w:rPr>
          <w:b w:val="0"/>
          <w:bCs w:val="0"/>
          <w:u w:val="none" w:color="auto"/>
        </w:rPr>
      </w:pPr>
    </w:p>
    <w:p>
      <w:pPr>
        <w:spacing w:before="78" w:line="219" w:lineRule="auto"/>
        <w:ind w:left="3"/>
        <w:rPr>
          <w:rFonts w:ascii="宋体" w:hAnsi="宋体" w:eastAsia="宋体" w:cs="宋体"/>
          <w:b w:val="0"/>
          <w:bCs w:val="0"/>
          <w:sz w:val="24"/>
          <w:szCs w:val="24"/>
          <w:u w:val="none" w:color="auto"/>
        </w:rPr>
      </w:pPr>
      <w:r>
        <w:rPr>
          <w:rFonts w:ascii="宋体" w:hAnsi="宋体" w:eastAsia="宋体" w:cs="宋体"/>
          <w:b w:val="0"/>
          <w:bCs w:val="0"/>
          <w:spacing w:val="10"/>
          <w:sz w:val="24"/>
          <w:szCs w:val="24"/>
          <w:u w:val="none" w:color="auto"/>
        </w:rPr>
        <w:t>编制日期：2025年04月</w:t>
      </w:r>
      <w:r>
        <w:rPr>
          <w:rFonts w:hint="eastAsia" w:ascii="宋体" w:hAnsi="宋体" w:cs="宋体"/>
          <w:b w:val="0"/>
          <w:bCs w:val="0"/>
          <w:spacing w:val="10"/>
          <w:sz w:val="24"/>
          <w:szCs w:val="24"/>
          <w:u w:val="none" w:color="auto"/>
          <w:lang w:val="en-US" w:eastAsia="zh-CN"/>
        </w:rPr>
        <w:t>16</w:t>
      </w:r>
      <w:r>
        <w:rPr>
          <w:rFonts w:ascii="宋体" w:hAnsi="宋体" w:eastAsia="宋体" w:cs="宋体"/>
          <w:b w:val="0"/>
          <w:bCs w:val="0"/>
          <w:spacing w:val="10"/>
          <w:sz w:val="24"/>
          <w:szCs w:val="24"/>
          <w:u w:val="none" w:color="auto"/>
        </w:rPr>
        <w:t>日</w:t>
      </w:r>
    </w:p>
    <w:p>
      <w:pPr>
        <w:rPr>
          <w:rFonts w:ascii="宋体" w:hAnsi="宋体" w:eastAsia="宋体" w:cs="宋体"/>
          <w:sz w:val="24"/>
          <w:szCs w:val="24"/>
          <w:u w:val="none" w:color="auto"/>
        </w:rPr>
      </w:pPr>
      <w:r>
        <w:rPr>
          <w:rFonts w:ascii="宋体" w:hAnsi="宋体" w:eastAsia="宋体" w:cs="宋体"/>
          <w:sz w:val="24"/>
          <w:szCs w:val="24"/>
          <w:u w:val="none" w:color="auto"/>
        </w:rPr>
        <w:br w:type="page"/>
      </w:r>
    </w:p>
    <w:p>
      <w:pPr>
        <w:keepNext w:val="0"/>
        <w:keepLines w:val="0"/>
        <w:pageBreakBefore w:val="0"/>
        <w:widowControl/>
        <w:kinsoku/>
        <w:wordWrap/>
        <w:overflowPunct/>
        <w:topLinePunct w:val="0"/>
        <w:autoSpaceDE/>
        <w:autoSpaceDN/>
        <w:bidi w:val="0"/>
        <w:adjustRightInd/>
        <w:snapToGrid/>
        <w:spacing w:line="219" w:lineRule="auto"/>
        <w:ind w:firstLine="0" w:firstLineChars="0"/>
        <w:jc w:val="center"/>
        <w:textAlignment w:val="auto"/>
        <w:rPr>
          <w:rFonts w:ascii="宋体" w:hAnsi="宋体" w:eastAsia="宋体" w:cs="宋体"/>
          <w:sz w:val="46"/>
          <w:szCs w:val="46"/>
        </w:rPr>
      </w:pPr>
      <w:r>
        <w:rPr>
          <w:rFonts w:ascii="宋体" w:hAnsi="宋体" w:eastAsia="宋体" w:cs="宋体"/>
          <w:b/>
          <w:bCs/>
          <w:spacing w:val="-23"/>
          <w:sz w:val="46"/>
          <w:szCs w:val="46"/>
        </w:rPr>
        <w:t>招</w:t>
      </w:r>
      <w:r>
        <w:rPr>
          <w:rFonts w:ascii="宋体" w:hAnsi="宋体" w:eastAsia="宋体" w:cs="宋体"/>
          <w:spacing w:val="49"/>
          <w:sz w:val="46"/>
          <w:szCs w:val="46"/>
        </w:rPr>
        <w:t xml:space="preserve"> </w:t>
      </w:r>
      <w:r>
        <w:rPr>
          <w:rFonts w:ascii="宋体" w:hAnsi="宋体" w:eastAsia="宋体" w:cs="宋体"/>
          <w:b/>
          <w:bCs/>
          <w:spacing w:val="-23"/>
          <w:sz w:val="46"/>
          <w:szCs w:val="46"/>
        </w:rPr>
        <w:t>标</w:t>
      </w:r>
      <w:r>
        <w:rPr>
          <w:rFonts w:ascii="宋体" w:hAnsi="宋体" w:eastAsia="宋体" w:cs="宋体"/>
          <w:spacing w:val="62"/>
          <w:sz w:val="46"/>
          <w:szCs w:val="46"/>
        </w:rPr>
        <w:t xml:space="preserve"> </w:t>
      </w:r>
      <w:r>
        <w:rPr>
          <w:rFonts w:ascii="宋体" w:hAnsi="宋体" w:eastAsia="宋体" w:cs="宋体"/>
          <w:b/>
          <w:bCs/>
          <w:spacing w:val="-23"/>
          <w:sz w:val="46"/>
          <w:szCs w:val="46"/>
        </w:rPr>
        <w:t>公</w:t>
      </w:r>
      <w:r>
        <w:rPr>
          <w:rFonts w:ascii="宋体" w:hAnsi="宋体" w:eastAsia="宋体" w:cs="宋体"/>
          <w:spacing w:val="58"/>
          <w:sz w:val="46"/>
          <w:szCs w:val="46"/>
        </w:rPr>
        <w:t xml:space="preserve"> </w:t>
      </w:r>
      <w:r>
        <w:rPr>
          <w:rFonts w:ascii="宋体" w:hAnsi="宋体" w:eastAsia="宋体" w:cs="宋体"/>
          <w:b/>
          <w:bCs/>
          <w:spacing w:val="-23"/>
          <w:sz w:val="46"/>
          <w:szCs w:val="46"/>
        </w:rPr>
        <w:t>告</w:t>
      </w:r>
    </w:p>
    <w:p>
      <w:pPr>
        <w:pStyle w:val="5"/>
        <w:keepNext w:val="0"/>
        <w:keepLines w:val="0"/>
        <w:pageBreakBefore w:val="0"/>
        <w:kinsoku/>
        <w:wordWrap/>
        <w:overflowPunct/>
        <w:topLinePunct w:val="0"/>
        <w:autoSpaceDE/>
        <w:autoSpaceDN/>
        <w:bidi w:val="0"/>
        <w:adjustRightInd/>
        <w:snapToGrid/>
        <w:spacing w:line="312" w:lineRule="auto"/>
        <w:textAlignment w:val="auto"/>
        <w:rPr>
          <w:rFonts w:hint="default" w:ascii="Times New Roman" w:hAnsi="Times New Roman" w:eastAsia="宋体" w:cs="Times New Roman"/>
          <w:sz w:val="24"/>
          <w:szCs w:val="24"/>
        </w:rPr>
      </w:pPr>
    </w:p>
    <w:p>
      <w:pPr>
        <w:keepNext w:val="0"/>
        <w:keepLines w:val="0"/>
        <w:pageBreakBefore w:val="0"/>
        <w:widowControl/>
        <w:kinsoku/>
        <w:wordWrap/>
        <w:overflowPunct/>
        <w:topLinePunct w:val="0"/>
        <w:autoSpaceDE/>
        <w:autoSpaceDN/>
        <w:bidi w:val="0"/>
        <w:adjustRightInd/>
        <w:snapToGrid/>
        <w:spacing w:line="312" w:lineRule="auto"/>
        <w:ind w:right="0" w:firstLine="479"/>
        <w:jc w:val="both"/>
        <w:textAlignment w:val="auto"/>
        <w:rPr>
          <w:rFonts w:hint="default" w:ascii="Times New Roman" w:hAnsi="Times New Roman" w:eastAsia="宋体" w:cs="Times New Roman"/>
          <w:spacing w:val="0"/>
          <w:sz w:val="24"/>
          <w:szCs w:val="24"/>
        </w:rPr>
      </w:pPr>
      <w:r>
        <w:rPr>
          <w:rFonts w:hint="default" w:ascii="Times New Roman" w:hAnsi="Times New Roman" w:eastAsia="宋体" w:cs="Times New Roman"/>
          <w:spacing w:val="0"/>
          <w:sz w:val="24"/>
          <w:szCs w:val="24"/>
          <w:lang w:val="en-US" w:eastAsia="zh-CN"/>
        </w:rPr>
        <w:t>我</w:t>
      </w:r>
      <w:r>
        <w:rPr>
          <w:rFonts w:hint="default" w:ascii="Times New Roman" w:hAnsi="Times New Roman" w:eastAsia="宋体" w:cs="Times New Roman"/>
          <w:spacing w:val="0"/>
          <w:sz w:val="24"/>
          <w:szCs w:val="24"/>
        </w:rPr>
        <w:t>公司中标承建了洪泽湖周边滞洪区近期建设工程（泗洪县）施工16标工程，为保证优质、高效、安全地完成施工任务，现决定对该项目使用的钢材进行公开招标，欢迎新老客户参加竞标。</w:t>
      </w:r>
    </w:p>
    <w:p>
      <w:pPr>
        <w:keepNext w:val="0"/>
        <w:keepLines w:val="0"/>
        <w:pageBreakBefore w:val="0"/>
        <w:widowControl/>
        <w:kinsoku/>
        <w:wordWrap/>
        <w:overflowPunct/>
        <w:topLinePunct w:val="0"/>
        <w:autoSpaceDE/>
        <w:autoSpaceDN/>
        <w:bidi w:val="0"/>
        <w:adjustRightInd/>
        <w:snapToGrid/>
        <w:spacing w:after="0" w:line="312" w:lineRule="auto"/>
        <w:ind w:left="0" w:right="0"/>
        <w:jc w:val="both"/>
        <w:textAlignment w:val="auto"/>
        <w:rPr>
          <w:rFonts w:hint="default" w:ascii="Times New Roman" w:hAnsi="Times New Roman" w:eastAsia="宋体" w:cs="Times New Roman"/>
          <w:b/>
          <w:bCs/>
          <w:spacing w:val="0"/>
          <w:sz w:val="24"/>
          <w:szCs w:val="24"/>
        </w:rPr>
      </w:pPr>
      <w:r>
        <w:rPr>
          <w:rFonts w:hint="default" w:ascii="Times New Roman" w:hAnsi="Times New Roman" w:eastAsia="宋体" w:cs="Times New Roman"/>
          <w:b/>
          <w:bCs/>
          <w:spacing w:val="0"/>
          <w:sz w:val="24"/>
          <w:szCs w:val="24"/>
        </w:rPr>
        <w:t>一、投标人资格要求</w:t>
      </w:r>
    </w:p>
    <w:p>
      <w:pPr>
        <w:keepNext w:val="0"/>
        <w:keepLines w:val="0"/>
        <w:pageBreakBefore w:val="0"/>
        <w:widowControl/>
        <w:kinsoku/>
        <w:wordWrap/>
        <w:overflowPunct/>
        <w:topLinePunct w:val="0"/>
        <w:autoSpaceDE/>
        <w:autoSpaceDN/>
        <w:bidi w:val="0"/>
        <w:adjustRightInd/>
        <w:snapToGrid/>
        <w:spacing w:line="312" w:lineRule="auto"/>
        <w:ind w:right="0" w:firstLine="479"/>
        <w:jc w:val="both"/>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本次招标实行资格后审，供应商先根据技术参数报价，待确定中标候选人后，我公司将通知中标候选人携带资料进行审核，携带的资料为：投标单位法人营业执照原件或加盖单位公章的复印件、售后与服务承诺书及以前向其他单位供货的证明资料(如开具增值税发票的存根联)。如中标单位已是我公司合格供方，则不需要进行资格后审。</w:t>
      </w:r>
    </w:p>
    <w:p>
      <w:pPr>
        <w:keepNext w:val="0"/>
        <w:keepLines w:val="0"/>
        <w:pageBreakBefore w:val="0"/>
        <w:widowControl/>
        <w:kinsoku/>
        <w:wordWrap/>
        <w:overflowPunct/>
        <w:topLinePunct w:val="0"/>
        <w:autoSpaceDE/>
        <w:autoSpaceDN/>
        <w:bidi w:val="0"/>
        <w:adjustRightInd/>
        <w:snapToGrid/>
        <w:spacing w:after="0" w:line="312" w:lineRule="auto"/>
        <w:ind w:left="0" w:right="0"/>
        <w:jc w:val="both"/>
        <w:textAlignment w:val="auto"/>
        <w:rPr>
          <w:rFonts w:hint="default" w:ascii="Times New Roman" w:hAnsi="Times New Roman" w:eastAsia="宋体" w:cs="Times New Roman"/>
          <w:b/>
          <w:bCs/>
          <w:spacing w:val="0"/>
          <w:sz w:val="24"/>
          <w:szCs w:val="24"/>
        </w:rPr>
      </w:pPr>
      <w:r>
        <w:rPr>
          <w:rFonts w:hint="default" w:ascii="Times New Roman" w:hAnsi="Times New Roman" w:eastAsia="宋体" w:cs="Times New Roman"/>
          <w:b/>
          <w:bCs/>
          <w:spacing w:val="0"/>
          <w:sz w:val="24"/>
          <w:szCs w:val="24"/>
        </w:rPr>
        <w:t>二、招标文件的获取</w:t>
      </w:r>
    </w:p>
    <w:p>
      <w:pPr>
        <w:keepNext w:val="0"/>
        <w:keepLines w:val="0"/>
        <w:pageBreakBefore w:val="0"/>
        <w:widowControl/>
        <w:kinsoku/>
        <w:wordWrap/>
        <w:overflowPunct/>
        <w:topLinePunct w:val="0"/>
        <w:autoSpaceDE/>
        <w:autoSpaceDN/>
        <w:bidi w:val="0"/>
        <w:adjustRightInd/>
        <w:snapToGrid/>
        <w:spacing w:line="312" w:lineRule="auto"/>
        <w:ind w:right="0" w:firstLine="479"/>
        <w:jc w:val="both"/>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请有意参加投标的供应商至江苏省水利建设工程有限公司网站(</w:t>
      </w:r>
      <w:r>
        <w:rPr>
          <w:rFonts w:hint="default" w:ascii="Times New Roman" w:hAnsi="Times New Roman" w:eastAsia="宋体" w:cs="Times New Roman"/>
          <w:spacing w:val="0"/>
          <w:sz w:val="24"/>
          <w:szCs w:val="24"/>
          <w:lang w:val="en-US" w:eastAsia="zh-CN"/>
        </w:rPr>
        <w:fldChar w:fldCharType="begin"/>
      </w:r>
      <w:r>
        <w:rPr>
          <w:rFonts w:hint="default" w:ascii="Times New Roman" w:hAnsi="Times New Roman" w:eastAsia="宋体" w:cs="Times New Roman"/>
          <w:spacing w:val="0"/>
          <w:sz w:val="24"/>
          <w:szCs w:val="24"/>
          <w:lang w:val="en-US" w:eastAsia="zh-CN"/>
        </w:rPr>
        <w:instrText xml:space="preserve"> HYPERLINK "http://www.jswcc.com/" </w:instrText>
      </w:r>
      <w:r>
        <w:rPr>
          <w:rFonts w:hint="default" w:ascii="Times New Roman" w:hAnsi="Times New Roman" w:eastAsia="宋体" w:cs="Times New Roman"/>
          <w:spacing w:val="0"/>
          <w:sz w:val="24"/>
          <w:szCs w:val="24"/>
          <w:lang w:val="en-US" w:eastAsia="zh-CN"/>
        </w:rPr>
        <w:fldChar w:fldCharType="separate"/>
      </w:r>
      <w:r>
        <w:rPr>
          <w:rFonts w:hint="default" w:ascii="Times New Roman" w:hAnsi="Times New Roman" w:eastAsia="宋体" w:cs="Times New Roman"/>
          <w:spacing w:val="0"/>
          <w:sz w:val="24"/>
          <w:szCs w:val="24"/>
          <w:lang w:val="en-US" w:eastAsia="zh-CN"/>
        </w:rPr>
        <w:t>http://www.jswcc.com/</w:t>
      </w:r>
      <w:r>
        <w:rPr>
          <w:rFonts w:hint="default" w:ascii="Times New Roman" w:hAnsi="Times New Roman" w:eastAsia="宋体" w:cs="Times New Roman"/>
          <w:spacing w:val="0"/>
          <w:sz w:val="24"/>
          <w:szCs w:val="24"/>
          <w:lang w:val="en-US" w:eastAsia="zh-CN"/>
        </w:rPr>
        <w:fldChar w:fldCharType="end"/>
      </w:r>
      <w:r>
        <w:rPr>
          <w:rFonts w:hint="default" w:ascii="Times New Roman" w:hAnsi="Times New Roman" w:eastAsia="宋体" w:cs="Times New Roman"/>
          <w:spacing w:val="0"/>
          <w:sz w:val="24"/>
          <w:szCs w:val="24"/>
          <w:lang w:val="en-US" w:eastAsia="zh-CN"/>
        </w:rPr>
        <w:t>)下载本次钢材采购的招标文件。</w:t>
      </w:r>
    </w:p>
    <w:p>
      <w:pPr>
        <w:keepNext w:val="0"/>
        <w:keepLines w:val="0"/>
        <w:pageBreakBefore w:val="0"/>
        <w:widowControl/>
        <w:kinsoku/>
        <w:wordWrap/>
        <w:overflowPunct/>
        <w:topLinePunct w:val="0"/>
        <w:autoSpaceDE/>
        <w:autoSpaceDN/>
        <w:bidi w:val="0"/>
        <w:adjustRightInd/>
        <w:snapToGrid/>
        <w:spacing w:line="312" w:lineRule="auto"/>
        <w:ind w:right="0" w:firstLine="479"/>
        <w:jc w:val="both"/>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招标人联系人：朱丽，联系电话：13218960628(扬州市长征西路14号)</w:t>
      </w:r>
    </w:p>
    <w:p>
      <w:pPr>
        <w:keepNext w:val="0"/>
        <w:keepLines w:val="0"/>
        <w:pageBreakBefore w:val="0"/>
        <w:widowControl/>
        <w:kinsoku/>
        <w:wordWrap/>
        <w:overflowPunct/>
        <w:topLinePunct w:val="0"/>
        <w:autoSpaceDE/>
        <w:autoSpaceDN/>
        <w:bidi w:val="0"/>
        <w:adjustRightInd/>
        <w:snapToGrid/>
        <w:spacing w:line="312" w:lineRule="auto"/>
        <w:ind w:right="0" w:firstLine="479"/>
        <w:jc w:val="both"/>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项目部联系人：宋冀赟，联系电话：18252736161。</w:t>
      </w:r>
    </w:p>
    <w:p>
      <w:pPr>
        <w:keepNext w:val="0"/>
        <w:keepLines w:val="0"/>
        <w:pageBreakBefore w:val="0"/>
        <w:widowControl/>
        <w:kinsoku/>
        <w:wordWrap/>
        <w:overflowPunct/>
        <w:topLinePunct w:val="0"/>
        <w:autoSpaceDE/>
        <w:autoSpaceDN/>
        <w:bidi w:val="0"/>
        <w:adjustRightInd/>
        <w:snapToGrid/>
        <w:spacing w:after="0" w:line="312" w:lineRule="auto"/>
        <w:ind w:left="0" w:right="0"/>
        <w:jc w:val="both"/>
        <w:textAlignment w:val="auto"/>
        <w:rPr>
          <w:rFonts w:hint="default" w:ascii="Times New Roman" w:hAnsi="Times New Roman" w:eastAsia="宋体" w:cs="Times New Roman"/>
          <w:b/>
          <w:bCs/>
          <w:spacing w:val="0"/>
          <w:sz w:val="24"/>
          <w:szCs w:val="24"/>
        </w:rPr>
      </w:pPr>
      <w:r>
        <w:rPr>
          <w:rFonts w:hint="default" w:ascii="Times New Roman" w:hAnsi="Times New Roman" w:eastAsia="宋体" w:cs="Times New Roman"/>
          <w:b/>
          <w:bCs/>
          <w:spacing w:val="0"/>
          <w:sz w:val="24"/>
          <w:szCs w:val="24"/>
        </w:rPr>
        <w:t>三、投标文件的递交</w:t>
      </w:r>
    </w:p>
    <w:p>
      <w:pPr>
        <w:keepNext w:val="0"/>
        <w:keepLines w:val="0"/>
        <w:pageBreakBefore w:val="0"/>
        <w:widowControl w:val="0"/>
        <w:kinsoku/>
        <w:wordWrap/>
        <w:overflowPunct/>
        <w:topLinePunct w:val="0"/>
        <w:autoSpaceDE/>
        <w:autoSpaceDN/>
        <w:bidi w:val="0"/>
        <w:adjustRightInd/>
        <w:snapToGrid/>
        <w:spacing w:line="312" w:lineRule="auto"/>
        <w:ind w:right="0" w:firstLine="480" w:firstLineChars="200"/>
        <w:jc w:val="both"/>
        <w:textAlignment w:val="auto"/>
        <w:rPr>
          <w:rFonts w:hint="default" w:ascii="Times New Roman" w:hAnsi="Times New Roman" w:eastAsia="宋体" w:cs="Times New Roman"/>
          <w:color w:val="000000"/>
          <w:spacing w:val="0"/>
          <w:kern w:val="2"/>
          <w:sz w:val="24"/>
          <w:szCs w:val="24"/>
        </w:rPr>
      </w:pPr>
      <w:r>
        <w:rPr>
          <w:rFonts w:hint="default" w:ascii="Times New Roman" w:hAnsi="Times New Roman" w:eastAsia="宋体" w:cs="Times New Roman"/>
          <w:color w:val="000000"/>
          <w:spacing w:val="0"/>
          <w:kern w:val="2"/>
          <w:sz w:val="24"/>
          <w:szCs w:val="24"/>
        </w:rPr>
        <w:t>本次投标采取网上投标方式，投标人于2025年4月</w:t>
      </w:r>
      <w:r>
        <w:rPr>
          <w:rFonts w:hint="default" w:ascii="Times New Roman" w:hAnsi="Times New Roman" w:eastAsia="宋体" w:cs="Times New Roman"/>
          <w:color w:val="000000"/>
          <w:spacing w:val="0"/>
          <w:kern w:val="2"/>
          <w:sz w:val="24"/>
          <w:szCs w:val="24"/>
          <w:lang w:val="en-US" w:eastAsia="zh-CN"/>
        </w:rPr>
        <w:t>25</w:t>
      </w:r>
      <w:r>
        <w:rPr>
          <w:rFonts w:hint="default" w:ascii="Times New Roman" w:hAnsi="Times New Roman" w:eastAsia="宋体" w:cs="Times New Roman"/>
          <w:color w:val="000000"/>
          <w:spacing w:val="0"/>
          <w:kern w:val="2"/>
          <w:sz w:val="24"/>
          <w:szCs w:val="24"/>
        </w:rPr>
        <w:t>日</w:t>
      </w:r>
      <w:r>
        <w:rPr>
          <w:rFonts w:hint="default" w:ascii="Times New Roman" w:hAnsi="Times New Roman" w:eastAsia="宋体" w:cs="Times New Roman"/>
          <w:color w:val="000000"/>
          <w:spacing w:val="0"/>
          <w:kern w:val="2"/>
          <w:sz w:val="24"/>
          <w:szCs w:val="24"/>
          <w:lang w:val="en-US" w:eastAsia="zh-CN"/>
        </w:rPr>
        <w:t>下午14</w:t>
      </w:r>
      <w:r>
        <w:rPr>
          <w:rFonts w:hint="default" w:ascii="Times New Roman" w:hAnsi="Times New Roman" w:eastAsia="宋体" w:cs="Times New Roman"/>
          <w:color w:val="000000"/>
          <w:spacing w:val="0"/>
          <w:kern w:val="2"/>
          <w:sz w:val="24"/>
          <w:szCs w:val="24"/>
        </w:rPr>
        <w:t>:</w:t>
      </w:r>
      <w:r>
        <w:rPr>
          <w:rFonts w:hint="default" w:ascii="Times New Roman" w:hAnsi="Times New Roman" w:eastAsia="宋体" w:cs="Times New Roman"/>
          <w:color w:val="000000"/>
          <w:spacing w:val="0"/>
          <w:kern w:val="2"/>
          <w:sz w:val="24"/>
          <w:szCs w:val="24"/>
          <w:lang w:val="en-US" w:eastAsia="zh-CN"/>
        </w:rPr>
        <w:t>15</w:t>
      </w:r>
      <w:r>
        <w:rPr>
          <w:rFonts w:hint="default" w:ascii="Times New Roman" w:hAnsi="Times New Roman" w:eastAsia="宋体" w:cs="Times New Roman"/>
          <w:color w:val="000000"/>
          <w:spacing w:val="0"/>
          <w:kern w:val="2"/>
          <w:sz w:val="24"/>
          <w:szCs w:val="24"/>
        </w:rPr>
        <w:t>前将投标文件加盖公章后并扫描上传至江苏水建集中采购安装平台（</w:t>
      </w:r>
      <w:r>
        <w:rPr>
          <w:rFonts w:hint="default" w:ascii="Times New Roman" w:hAnsi="Times New Roman" w:eastAsia="宋体" w:cs="Times New Roman"/>
          <w:color w:val="0000FF"/>
          <w:spacing w:val="0"/>
          <w:kern w:val="2"/>
          <w:sz w:val="24"/>
          <w:szCs w:val="24"/>
        </w:rPr>
        <w:t>投标文件以PDF文件加密或压缩文件加密</w:t>
      </w:r>
      <w:r>
        <w:rPr>
          <w:rFonts w:hint="default" w:ascii="Times New Roman" w:hAnsi="Times New Roman" w:eastAsia="宋体" w:cs="Times New Roman"/>
          <w:color w:val="000000"/>
          <w:spacing w:val="0"/>
          <w:kern w:val="2"/>
          <w:sz w:val="24"/>
          <w:szCs w:val="24"/>
        </w:rPr>
        <w:t>），投标文件每页均须法定代表人或其授权委托人签字并加盖单位公章。投标单位可与朱丽13218960628联系获取江苏水建集中采购安装平台操作手册。</w:t>
      </w:r>
    </w:p>
    <w:p>
      <w:pPr>
        <w:keepNext w:val="0"/>
        <w:keepLines w:val="0"/>
        <w:pageBreakBefore w:val="0"/>
        <w:widowControl/>
        <w:kinsoku/>
        <w:wordWrap/>
        <w:overflowPunct/>
        <w:topLinePunct w:val="0"/>
        <w:autoSpaceDE/>
        <w:autoSpaceDN/>
        <w:bidi w:val="0"/>
        <w:adjustRightInd/>
        <w:snapToGrid/>
        <w:spacing w:after="0" w:line="312" w:lineRule="auto"/>
        <w:ind w:left="0" w:right="0"/>
        <w:jc w:val="both"/>
        <w:textAlignment w:val="auto"/>
        <w:rPr>
          <w:rFonts w:hint="default" w:ascii="Times New Roman" w:hAnsi="Times New Roman" w:eastAsia="宋体" w:cs="Times New Roman"/>
          <w:b/>
          <w:bCs/>
          <w:spacing w:val="0"/>
          <w:sz w:val="24"/>
          <w:szCs w:val="24"/>
        </w:rPr>
      </w:pPr>
      <w:r>
        <w:rPr>
          <w:rFonts w:hint="default" w:ascii="Times New Roman" w:hAnsi="Times New Roman" w:eastAsia="宋体" w:cs="Times New Roman"/>
          <w:b/>
          <w:bCs/>
          <w:spacing w:val="0"/>
          <w:sz w:val="24"/>
          <w:szCs w:val="24"/>
        </w:rPr>
        <w:t>四、投标保证金、开标时间地点</w:t>
      </w:r>
    </w:p>
    <w:p>
      <w:pPr>
        <w:keepNext w:val="0"/>
        <w:keepLines w:val="0"/>
        <w:pageBreakBefore w:val="0"/>
        <w:widowControl/>
        <w:kinsoku/>
        <w:wordWrap/>
        <w:overflowPunct/>
        <w:topLinePunct w:val="0"/>
        <w:autoSpaceDE/>
        <w:autoSpaceDN/>
        <w:bidi w:val="0"/>
        <w:adjustRightInd/>
        <w:snapToGrid/>
        <w:spacing w:line="312" w:lineRule="auto"/>
        <w:ind w:right="0" w:firstLine="479"/>
        <w:jc w:val="both"/>
        <w:textAlignment w:val="auto"/>
        <w:rPr>
          <w:rFonts w:hint="default" w:ascii="Times New Roman" w:hAnsi="Times New Roman" w:eastAsia="宋体" w:cs="Times New Roman"/>
          <w:spacing w:val="0"/>
          <w:sz w:val="24"/>
          <w:szCs w:val="24"/>
        </w:rPr>
      </w:pPr>
      <w:r>
        <w:rPr>
          <w:rFonts w:hint="default" w:ascii="Times New Roman" w:hAnsi="Times New Roman" w:eastAsia="宋体" w:cs="Times New Roman"/>
          <w:spacing w:val="0"/>
          <w:sz w:val="24"/>
          <w:szCs w:val="24"/>
        </w:rPr>
        <w:t>1、投标保证金：请各投标人需在2025年04月</w:t>
      </w:r>
      <w:r>
        <w:rPr>
          <w:rFonts w:hint="eastAsia" w:cs="Times New Roman"/>
          <w:spacing w:val="0"/>
          <w:sz w:val="24"/>
          <w:szCs w:val="24"/>
          <w:lang w:val="en-US" w:eastAsia="zh-CN"/>
        </w:rPr>
        <w:t>25</w:t>
      </w:r>
      <w:r>
        <w:rPr>
          <w:rFonts w:hint="default" w:ascii="Times New Roman" w:hAnsi="Times New Roman" w:eastAsia="宋体" w:cs="Times New Roman"/>
          <w:spacing w:val="0"/>
          <w:sz w:val="24"/>
          <w:szCs w:val="24"/>
        </w:rPr>
        <w:t>日上午10:00前从单位基本户将投标保证金(人民币)伍万元整汇入我公司银行账户，汇款备注：洪泽湖滞洪区建设（泗洪县）16标钢材投标保证金。其他方式的投标担保一律作无效标处理。未中标单位的投标保证金将在7个工作日内归还(不计利息),中标人的投标保证金凭已签订的合同和履约保证金(具体金额见后附的格式合同相关条款)已到账的银行收款凭证退还。投标保证金汇入账户：</w:t>
      </w:r>
    </w:p>
    <w:p>
      <w:pPr>
        <w:keepNext w:val="0"/>
        <w:keepLines w:val="0"/>
        <w:pageBreakBefore w:val="0"/>
        <w:widowControl/>
        <w:kinsoku/>
        <w:wordWrap/>
        <w:overflowPunct/>
        <w:topLinePunct w:val="0"/>
        <w:autoSpaceDE/>
        <w:autoSpaceDN/>
        <w:bidi w:val="0"/>
        <w:adjustRightInd/>
        <w:snapToGrid/>
        <w:spacing w:line="312" w:lineRule="auto"/>
        <w:ind w:right="0" w:firstLine="479"/>
        <w:jc w:val="both"/>
        <w:textAlignment w:val="auto"/>
        <w:rPr>
          <w:rFonts w:hint="default" w:ascii="Times New Roman" w:hAnsi="Times New Roman" w:eastAsia="宋体" w:cs="Times New Roman"/>
          <w:spacing w:val="0"/>
          <w:sz w:val="24"/>
          <w:szCs w:val="24"/>
          <w:lang w:eastAsia="zh-CN"/>
        </w:rPr>
      </w:pPr>
      <w:r>
        <w:rPr>
          <w:rFonts w:hint="default" w:ascii="Times New Roman" w:hAnsi="Times New Roman" w:eastAsia="宋体" w:cs="Times New Roman"/>
          <w:spacing w:val="0"/>
          <w:sz w:val="24"/>
          <w:szCs w:val="24"/>
        </w:rPr>
        <w:t>户名：江苏省水利建设工程有限公司</w:t>
      </w:r>
      <w:r>
        <w:rPr>
          <w:rFonts w:hint="default" w:ascii="Times New Roman" w:hAnsi="Times New Roman" w:eastAsia="宋体" w:cs="Times New Roman"/>
          <w:spacing w:val="0"/>
          <w:sz w:val="24"/>
          <w:szCs w:val="24"/>
          <w:lang w:eastAsia="zh-CN"/>
        </w:rPr>
        <w:t>，</w:t>
      </w:r>
    </w:p>
    <w:p>
      <w:pPr>
        <w:keepNext w:val="0"/>
        <w:keepLines w:val="0"/>
        <w:pageBreakBefore w:val="0"/>
        <w:widowControl/>
        <w:kinsoku/>
        <w:wordWrap/>
        <w:overflowPunct/>
        <w:topLinePunct w:val="0"/>
        <w:autoSpaceDE/>
        <w:autoSpaceDN/>
        <w:bidi w:val="0"/>
        <w:adjustRightInd/>
        <w:snapToGrid/>
        <w:spacing w:line="312" w:lineRule="auto"/>
        <w:ind w:right="0" w:firstLine="479"/>
        <w:jc w:val="both"/>
        <w:textAlignment w:val="auto"/>
        <w:rPr>
          <w:rFonts w:hint="default" w:ascii="Times New Roman" w:hAnsi="Times New Roman" w:eastAsia="宋体" w:cs="Times New Roman"/>
          <w:spacing w:val="0"/>
          <w:sz w:val="24"/>
          <w:szCs w:val="24"/>
          <w:lang w:eastAsia="zh-CN"/>
        </w:rPr>
      </w:pPr>
      <w:r>
        <w:rPr>
          <w:rFonts w:hint="default" w:ascii="Times New Roman" w:hAnsi="Times New Roman" w:eastAsia="宋体" w:cs="Times New Roman"/>
          <w:spacing w:val="0"/>
          <w:sz w:val="24"/>
          <w:szCs w:val="24"/>
        </w:rPr>
        <w:t>银行：中国建设银行扬州琼花支行</w:t>
      </w:r>
      <w:r>
        <w:rPr>
          <w:rFonts w:hint="default" w:ascii="Times New Roman" w:hAnsi="Times New Roman" w:eastAsia="宋体" w:cs="Times New Roman"/>
          <w:spacing w:val="0"/>
          <w:sz w:val="24"/>
          <w:szCs w:val="24"/>
          <w:lang w:eastAsia="zh-CN"/>
        </w:rPr>
        <w:t>，</w:t>
      </w:r>
    </w:p>
    <w:p>
      <w:pPr>
        <w:keepNext w:val="0"/>
        <w:keepLines w:val="0"/>
        <w:pageBreakBefore w:val="0"/>
        <w:widowControl/>
        <w:kinsoku/>
        <w:wordWrap/>
        <w:overflowPunct/>
        <w:topLinePunct w:val="0"/>
        <w:autoSpaceDE/>
        <w:autoSpaceDN/>
        <w:bidi w:val="0"/>
        <w:adjustRightInd/>
        <w:snapToGrid/>
        <w:spacing w:line="312" w:lineRule="auto"/>
        <w:ind w:right="0" w:firstLine="479"/>
        <w:jc w:val="both"/>
        <w:textAlignment w:val="auto"/>
        <w:rPr>
          <w:rFonts w:hint="default" w:ascii="Times New Roman" w:hAnsi="Times New Roman" w:eastAsia="宋体" w:cs="Times New Roman"/>
          <w:spacing w:val="0"/>
          <w:sz w:val="24"/>
          <w:szCs w:val="24"/>
        </w:rPr>
      </w:pPr>
      <w:r>
        <w:rPr>
          <w:rFonts w:hint="default" w:ascii="Times New Roman" w:hAnsi="Times New Roman" w:eastAsia="宋体" w:cs="Times New Roman"/>
          <w:spacing w:val="0"/>
          <w:sz w:val="24"/>
          <w:szCs w:val="24"/>
        </w:rPr>
        <w:t>账号：32001745736050488688</w:t>
      </w:r>
    </w:p>
    <w:p>
      <w:pPr>
        <w:keepNext w:val="0"/>
        <w:keepLines w:val="0"/>
        <w:pageBreakBefore w:val="0"/>
        <w:kinsoku/>
        <w:wordWrap/>
        <w:overflowPunct/>
        <w:topLinePunct w:val="0"/>
        <w:autoSpaceDE/>
        <w:autoSpaceDN/>
        <w:bidi w:val="0"/>
        <w:adjustRightInd/>
        <w:snapToGrid/>
        <w:spacing w:line="312" w:lineRule="auto"/>
        <w:ind w:right="0" w:firstLine="479"/>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0"/>
          <w:sz w:val="24"/>
          <w:szCs w:val="24"/>
        </w:rPr>
        <w:t>2、开标时间及地点：招标人于2025年04月</w:t>
      </w:r>
      <w:r>
        <w:rPr>
          <w:rFonts w:hint="eastAsia" w:cs="Times New Roman"/>
          <w:spacing w:val="0"/>
          <w:sz w:val="24"/>
          <w:szCs w:val="24"/>
          <w:lang w:val="en-US" w:eastAsia="zh-CN"/>
        </w:rPr>
        <w:t>25</w:t>
      </w:r>
      <w:r>
        <w:rPr>
          <w:rFonts w:hint="default" w:ascii="Times New Roman" w:hAnsi="Times New Roman" w:eastAsia="宋体" w:cs="Times New Roman"/>
          <w:spacing w:val="0"/>
          <w:sz w:val="24"/>
          <w:szCs w:val="24"/>
        </w:rPr>
        <w:t>日下午14:</w:t>
      </w:r>
      <w:r>
        <w:rPr>
          <w:rFonts w:hint="eastAsia" w:cs="Times New Roman"/>
          <w:spacing w:val="0"/>
          <w:sz w:val="24"/>
          <w:szCs w:val="24"/>
          <w:lang w:val="en-US" w:eastAsia="zh-CN"/>
        </w:rPr>
        <w:t>15</w:t>
      </w:r>
      <w:r>
        <w:rPr>
          <w:rFonts w:hint="default" w:ascii="Times New Roman" w:hAnsi="Times New Roman" w:eastAsia="宋体" w:cs="Times New Roman"/>
          <w:spacing w:val="0"/>
          <w:sz w:val="24"/>
          <w:szCs w:val="24"/>
        </w:rPr>
        <w:t>在江苏省水利建设工程有限公司公司五楼会议室(扬州市长征西路14号)现场开标。</w:t>
      </w:r>
      <w:r>
        <w:rPr>
          <w:rFonts w:hint="default" w:ascii="Times New Roman" w:hAnsi="Times New Roman" w:eastAsia="宋体" w:cs="Times New Roman"/>
          <w:color w:val="FF0404"/>
          <w:spacing w:val="0"/>
          <w:sz w:val="24"/>
          <w:szCs w:val="24"/>
        </w:rPr>
        <w:t>开标时，投标联系人需保证电话畅通并准备好正确开标密码，拨打投标联系人2次电话无法接通、提供2次错误开标密码或挂断电话再去找寻正确开标密码的均视同投标人放弃投标，招标人不再需要投标人提供开标密码。</w:t>
      </w:r>
    </w:p>
    <w:p>
      <w:pPr>
        <w:keepNext w:val="0"/>
        <w:keepLines w:val="0"/>
        <w:pageBreakBefore w:val="0"/>
        <w:widowControl/>
        <w:kinsoku/>
        <w:wordWrap/>
        <w:overflowPunct/>
        <w:topLinePunct w:val="0"/>
        <w:autoSpaceDE/>
        <w:autoSpaceDN/>
        <w:bidi w:val="0"/>
        <w:adjustRightInd/>
        <w:snapToGrid/>
        <w:spacing w:before="0" w:beforeLines="50" w:after="0" w:afterLines="50" w:line="400" w:lineRule="exact"/>
        <w:ind w:left="0"/>
        <w:textAlignment w:val="auto"/>
        <w:rPr>
          <w:rFonts w:ascii="宋体" w:hAnsi="宋体" w:eastAsia="宋体" w:cs="宋体"/>
          <w:b/>
          <w:bCs/>
          <w:sz w:val="24"/>
          <w:szCs w:val="24"/>
        </w:rPr>
      </w:pPr>
      <w:r>
        <w:rPr>
          <w:rFonts w:ascii="宋体" w:hAnsi="宋体" w:eastAsia="宋体" w:cs="宋体"/>
          <w:b/>
          <w:bCs/>
          <w:sz w:val="24"/>
          <w:szCs w:val="24"/>
        </w:rPr>
        <w:t>五、供货内容及要求</w:t>
      </w:r>
    </w:p>
    <w:p>
      <w:pPr>
        <w:keepNext w:val="0"/>
        <w:keepLines w:val="0"/>
        <w:pageBreakBefore w:val="0"/>
        <w:widowControl/>
        <w:kinsoku/>
        <w:wordWrap/>
        <w:overflowPunct/>
        <w:topLinePunct w:val="0"/>
        <w:autoSpaceDE/>
        <w:autoSpaceDN/>
        <w:bidi w:val="0"/>
        <w:adjustRightInd/>
        <w:snapToGrid/>
        <w:spacing w:line="324" w:lineRule="auto"/>
        <w:ind w:right="121" w:firstLine="479"/>
        <w:textAlignment w:val="auto"/>
        <w:rPr>
          <w:rFonts w:hint="default" w:ascii="宋体" w:hAnsi="宋体" w:eastAsia="宋体" w:cs="宋体"/>
          <w:color w:val="0000FF"/>
          <w:spacing w:val="0"/>
          <w:sz w:val="24"/>
          <w:szCs w:val="24"/>
          <w:lang w:val="en-US" w:eastAsia="zh-CN"/>
        </w:rPr>
      </w:pPr>
      <w:r>
        <w:rPr>
          <w:rFonts w:ascii="宋体" w:hAnsi="宋体" w:eastAsia="宋体" w:cs="宋体"/>
          <w:spacing w:val="0"/>
          <w:sz w:val="24"/>
          <w:szCs w:val="24"/>
        </w:rPr>
        <w:t>1、</w:t>
      </w:r>
      <w:r>
        <w:rPr>
          <w:rFonts w:hint="eastAsia" w:ascii="宋体" w:hAnsi="宋体" w:cs="宋体"/>
          <w:spacing w:val="0"/>
          <w:sz w:val="24"/>
          <w:szCs w:val="24"/>
          <w:lang w:val="en-US" w:eastAsia="zh-CN"/>
        </w:rPr>
        <w:t>钢筋品牌</w:t>
      </w:r>
      <w:r>
        <w:rPr>
          <w:rFonts w:hint="eastAsia" w:ascii="宋体" w:hAnsi="宋体" w:cs="宋体"/>
          <w:color w:val="0000FF"/>
          <w:spacing w:val="0"/>
          <w:sz w:val="24"/>
          <w:szCs w:val="24"/>
          <w:lang w:val="en-US" w:eastAsia="zh-CN"/>
        </w:rPr>
        <w:t>仅限</w:t>
      </w:r>
      <w:r>
        <w:rPr>
          <w:rFonts w:hint="eastAsia" w:ascii="Times New Roman" w:hAnsi="Times New Roman" w:eastAsia="宋体" w:cs="Times New Roman"/>
          <w:spacing w:val="0"/>
          <w:sz w:val="24"/>
          <w:szCs w:val="24"/>
          <w:lang w:val="en-US" w:eastAsia="zh-CN"/>
        </w:rPr>
        <w:t>联鑫黄海、江苏鸿泰、安徽富鑫、连云港兴鑫等品牌。</w:t>
      </w:r>
    </w:p>
    <w:p>
      <w:pPr>
        <w:keepNext w:val="0"/>
        <w:keepLines w:val="0"/>
        <w:pageBreakBefore w:val="0"/>
        <w:widowControl/>
        <w:kinsoku/>
        <w:wordWrap/>
        <w:overflowPunct/>
        <w:topLinePunct w:val="0"/>
        <w:autoSpaceDE/>
        <w:autoSpaceDN/>
        <w:bidi w:val="0"/>
        <w:adjustRightInd/>
        <w:snapToGrid/>
        <w:spacing w:line="324" w:lineRule="auto"/>
        <w:ind w:right="98" w:firstLine="479"/>
        <w:textAlignment w:val="auto"/>
        <w:rPr>
          <w:rFonts w:hint="default" w:ascii="Times New Roman" w:hAnsi="Times New Roman" w:eastAsia="宋体" w:cs="Times New Roman"/>
          <w:spacing w:val="0"/>
          <w:sz w:val="24"/>
          <w:szCs w:val="24"/>
        </w:rPr>
      </w:pPr>
      <w:r>
        <w:rPr>
          <w:rFonts w:hint="default" w:ascii="Times New Roman" w:hAnsi="Times New Roman" w:eastAsia="宋体" w:cs="Times New Roman"/>
          <w:spacing w:val="0"/>
          <w:sz w:val="24"/>
          <w:szCs w:val="24"/>
        </w:rPr>
        <w:t>2、</w:t>
      </w:r>
      <w:r>
        <w:rPr>
          <w:rFonts w:hint="default" w:ascii="Times New Roman" w:hAnsi="Times New Roman" w:eastAsia="宋体" w:cs="Times New Roman"/>
          <w:spacing w:val="0"/>
          <w:sz w:val="24"/>
          <w:szCs w:val="24"/>
          <w:lang w:val="en-US" w:eastAsia="zh-CN"/>
        </w:rPr>
        <w:t>钢筋</w:t>
      </w:r>
      <w:r>
        <w:rPr>
          <w:rFonts w:hint="default" w:ascii="Times New Roman" w:hAnsi="Times New Roman" w:eastAsia="宋体" w:cs="Times New Roman"/>
          <w:spacing w:val="0"/>
          <w:sz w:val="24"/>
          <w:szCs w:val="24"/>
        </w:rPr>
        <w:t>的规格、暂定数量：</w:t>
      </w:r>
    </w:p>
    <w:p>
      <w:pPr>
        <w:spacing w:line="40" w:lineRule="exact"/>
        <w:rPr>
          <w:rFonts w:hint="default" w:ascii="Times New Roman" w:hAnsi="Times New Roman" w:eastAsia="宋体" w:cs="Times New Roman"/>
          <w:spacing w:val="0"/>
          <w:sz w:val="24"/>
          <w:szCs w:val="24"/>
        </w:rPr>
      </w:pPr>
    </w:p>
    <w:tbl>
      <w:tblPr>
        <w:tblStyle w:val="11"/>
        <w:tblW w:w="95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9"/>
        <w:gridCol w:w="2411"/>
        <w:gridCol w:w="969"/>
        <w:gridCol w:w="1392"/>
        <w:gridCol w:w="2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89" w:type="dxa"/>
            <w:vAlign w:val="center"/>
          </w:tcPr>
          <w:p>
            <w:pPr>
              <w:spacing w:line="240" w:lineRule="atLeast"/>
              <w:ind w:firstLine="0" w:firstLineChars="0"/>
              <w:jc w:val="center"/>
              <w:rPr>
                <w:rFonts w:hint="default" w:ascii="Times New Roman" w:hAnsi="Times New Roman" w:eastAsia="宋体" w:cs="Times New Roman"/>
                <w:b/>
                <w:bCs/>
                <w:color w:val="000000" w:themeColor="text1"/>
                <w:spacing w:val="0"/>
                <w:sz w:val="24"/>
                <w:szCs w:val="24"/>
                <w14:textFill>
                  <w14:solidFill>
                    <w14:schemeClr w14:val="tx1"/>
                  </w14:solidFill>
                </w14:textFill>
              </w:rPr>
            </w:pPr>
            <w:r>
              <w:rPr>
                <w:rFonts w:hint="default" w:ascii="Times New Roman" w:hAnsi="Times New Roman" w:eastAsia="宋体" w:cs="Times New Roman"/>
                <w:b/>
                <w:bCs/>
                <w:color w:val="000000" w:themeColor="text1"/>
                <w:spacing w:val="0"/>
                <w:sz w:val="24"/>
                <w:szCs w:val="24"/>
                <w14:textFill>
                  <w14:solidFill>
                    <w14:schemeClr w14:val="tx1"/>
                  </w14:solidFill>
                </w14:textFill>
              </w:rPr>
              <w:t>品名</w:t>
            </w:r>
          </w:p>
        </w:tc>
        <w:tc>
          <w:tcPr>
            <w:tcW w:w="2411" w:type="dxa"/>
            <w:vAlign w:val="center"/>
          </w:tcPr>
          <w:p>
            <w:pPr>
              <w:spacing w:line="240" w:lineRule="atLeast"/>
              <w:ind w:firstLine="0" w:firstLineChars="0"/>
              <w:jc w:val="center"/>
              <w:rPr>
                <w:rFonts w:hint="default" w:ascii="Times New Roman" w:hAnsi="Times New Roman" w:eastAsia="宋体" w:cs="Times New Roman"/>
                <w:b/>
                <w:bCs/>
                <w:color w:val="000000" w:themeColor="text1"/>
                <w:spacing w:val="0"/>
                <w:sz w:val="24"/>
                <w:szCs w:val="24"/>
                <w14:textFill>
                  <w14:solidFill>
                    <w14:schemeClr w14:val="tx1"/>
                  </w14:solidFill>
                </w14:textFill>
              </w:rPr>
            </w:pPr>
            <w:r>
              <w:rPr>
                <w:rFonts w:hint="default" w:ascii="Times New Roman" w:hAnsi="Times New Roman" w:eastAsia="宋体" w:cs="Times New Roman"/>
                <w:b/>
                <w:bCs/>
                <w:color w:val="000000" w:themeColor="text1"/>
                <w:spacing w:val="0"/>
                <w:sz w:val="24"/>
                <w:szCs w:val="24"/>
                <w14:textFill>
                  <w14:solidFill>
                    <w14:schemeClr w14:val="tx1"/>
                  </w14:solidFill>
                </w14:textFill>
              </w:rPr>
              <w:t>规格</w:t>
            </w:r>
          </w:p>
        </w:tc>
        <w:tc>
          <w:tcPr>
            <w:tcW w:w="969" w:type="dxa"/>
            <w:vAlign w:val="center"/>
          </w:tcPr>
          <w:p>
            <w:pPr>
              <w:spacing w:line="240" w:lineRule="atLeast"/>
              <w:ind w:firstLine="0" w:firstLineChars="0"/>
              <w:jc w:val="center"/>
              <w:rPr>
                <w:rFonts w:hint="default" w:ascii="Times New Roman" w:hAnsi="Times New Roman" w:eastAsia="宋体" w:cs="Times New Roman"/>
                <w:b/>
                <w:bCs/>
                <w:color w:val="000000" w:themeColor="text1"/>
                <w:spacing w:val="0"/>
                <w:sz w:val="24"/>
                <w:szCs w:val="24"/>
                <w14:textFill>
                  <w14:solidFill>
                    <w14:schemeClr w14:val="tx1"/>
                  </w14:solidFill>
                </w14:textFill>
              </w:rPr>
            </w:pPr>
            <w:r>
              <w:rPr>
                <w:rFonts w:hint="default" w:ascii="Times New Roman" w:hAnsi="Times New Roman" w:eastAsia="宋体" w:cs="Times New Roman"/>
                <w:b/>
                <w:bCs/>
                <w:color w:val="000000" w:themeColor="text1"/>
                <w:spacing w:val="0"/>
                <w:sz w:val="24"/>
                <w:szCs w:val="24"/>
                <w14:textFill>
                  <w14:solidFill>
                    <w14:schemeClr w14:val="tx1"/>
                  </w14:solidFill>
                </w14:textFill>
              </w:rPr>
              <w:t>单位</w:t>
            </w:r>
          </w:p>
        </w:tc>
        <w:tc>
          <w:tcPr>
            <w:tcW w:w="1392" w:type="dxa"/>
            <w:vAlign w:val="center"/>
          </w:tcPr>
          <w:p>
            <w:pPr>
              <w:spacing w:line="240" w:lineRule="atLeast"/>
              <w:ind w:firstLine="0" w:firstLineChars="0"/>
              <w:jc w:val="center"/>
              <w:rPr>
                <w:rFonts w:hint="default" w:ascii="Times New Roman" w:hAnsi="Times New Roman" w:eastAsia="宋体" w:cs="Times New Roman"/>
                <w:b/>
                <w:bCs/>
                <w:color w:val="000000" w:themeColor="text1"/>
                <w:spacing w:val="0"/>
                <w:sz w:val="24"/>
                <w:szCs w:val="24"/>
                <w14:textFill>
                  <w14:solidFill>
                    <w14:schemeClr w14:val="tx1"/>
                  </w14:solidFill>
                </w14:textFill>
              </w:rPr>
            </w:pPr>
            <w:r>
              <w:rPr>
                <w:rFonts w:hint="default" w:ascii="Times New Roman" w:hAnsi="Times New Roman" w:eastAsia="宋体" w:cs="Times New Roman"/>
                <w:b/>
                <w:bCs/>
                <w:color w:val="000000" w:themeColor="text1"/>
                <w:spacing w:val="0"/>
                <w:sz w:val="24"/>
                <w:szCs w:val="24"/>
                <w14:textFill>
                  <w14:solidFill>
                    <w14:schemeClr w14:val="tx1"/>
                  </w14:solidFill>
                </w14:textFill>
              </w:rPr>
              <w:t>暂定数量</w:t>
            </w:r>
          </w:p>
        </w:tc>
        <w:tc>
          <w:tcPr>
            <w:tcW w:w="2903" w:type="dxa"/>
            <w:vAlign w:val="center"/>
          </w:tcPr>
          <w:p>
            <w:pPr>
              <w:spacing w:line="240" w:lineRule="atLeast"/>
              <w:ind w:firstLine="0" w:firstLineChars="0"/>
              <w:jc w:val="center"/>
              <w:rPr>
                <w:rFonts w:hint="default" w:ascii="Times New Roman" w:hAnsi="Times New Roman" w:eastAsia="宋体" w:cs="Times New Roman"/>
                <w:b/>
                <w:bCs/>
                <w:color w:val="000000" w:themeColor="text1"/>
                <w:spacing w:val="0"/>
                <w:sz w:val="24"/>
                <w:szCs w:val="24"/>
                <w14:textFill>
                  <w14:solidFill>
                    <w14:schemeClr w14:val="tx1"/>
                  </w14:solidFill>
                </w14:textFill>
              </w:rPr>
            </w:pPr>
            <w:r>
              <w:rPr>
                <w:rFonts w:hint="default" w:ascii="Times New Roman" w:hAnsi="Times New Roman" w:eastAsia="宋体" w:cs="Times New Roman"/>
                <w:b/>
                <w:bCs/>
                <w:color w:val="000000" w:themeColor="text1"/>
                <w:spacing w:val="0"/>
                <w:sz w:val="24"/>
                <w:szCs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8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w:t>
            </w:r>
            <w:r>
              <w:rPr>
                <w:rFonts w:hint="default" w:ascii="Times New Roman" w:hAnsi="Times New Roman" w:eastAsia="宋体" w:cs="Times New Roman"/>
                <w:color w:val="000000" w:themeColor="text1"/>
                <w:spacing w:val="0"/>
                <w:sz w:val="24"/>
                <w:szCs w:val="24"/>
                <w:lang w:val="en-US" w:eastAsia="zh-CN"/>
                <w14:textFill>
                  <w14:solidFill>
                    <w14:schemeClr w14:val="tx1"/>
                  </w14:solidFill>
                </w14:textFill>
              </w:rPr>
              <w:t>光圆</w:t>
            </w:r>
            <w:r>
              <w:rPr>
                <w:rFonts w:hint="default" w:ascii="Times New Roman" w:hAnsi="Times New Roman" w:eastAsia="宋体" w:cs="Times New Roman"/>
                <w:color w:val="000000" w:themeColor="text1"/>
                <w:spacing w:val="0"/>
                <w:sz w:val="24"/>
                <w:szCs w:val="24"/>
                <w14:textFill>
                  <w14:solidFill>
                    <w14:schemeClr w14:val="tx1"/>
                  </w14:solidFill>
                </w14:textFill>
              </w:rPr>
              <w:t>钢筋</w:t>
            </w:r>
          </w:p>
        </w:tc>
        <w:tc>
          <w:tcPr>
            <w:tcW w:w="2411"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w:t>
            </w:r>
            <w:r>
              <w:rPr>
                <w:rFonts w:hint="default" w:ascii="Times New Roman" w:hAnsi="Times New Roman" w:eastAsia="宋体" w:cs="Times New Roman"/>
                <w:color w:val="000000" w:themeColor="text1"/>
                <w:spacing w:val="0"/>
                <w:sz w:val="24"/>
                <w:szCs w:val="24"/>
                <w:lang w:val="en-US" w:eastAsia="zh-CN"/>
                <w14:textFill>
                  <w14:solidFill>
                    <w14:schemeClr w14:val="tx1"/>
                  </w14:solidFill>
                </w14:textFill>
              </w:rPr>
              <w:t>P</w:t>
            </w:r>
            <w:r>
              <w:rPr>
                <w:rFonts w:hint="default" w:ascii="Times New Roman" w:hAnsi="Times New Roman" w:eastAsia="宋体" w:cs="Times New Roman"/>
                <w:color w:val="000000" w:themeColor="text1"/>
                <w:spacing w:val="0"/>
                <w:sz w:val="24"/>
                <w:szCs w:val="24"/>
                <w14:textFill>
                  <w14:solidFill>
                    <w14:schemeClr w14:val="tx1"/>
                  </w14:solidFill>
                </w14:textFill>
              </w:rPr>
              <w:t>B300直径10mm</w:t>
            </w:r>
          </w:p>
        </w:tc>
        <w:tc>
          <w:tcPr>
            <w:tcW w:w="96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392" w:type="dxa"/>
            <w:vAlign w:val="center"/>
          </w:tcPr>
          <w:p>
            <w:pPr>
              <w:spacing w:line="240" w:lineRule="auto"/>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20</w:t>
            </w:r>
          </w:p>
        </w:tc>
        <w:tc>
          <w:tcPr>
            <w:tcW w:w="2903" w:type="dxa"/>
            <w:vMerge w:val="restart"/>
            <w:vAlign w:val="center"/>
          </w:tcPr>
          <w:p>
            <w:pPr>
              <w:pStyle w:val="24"/>
              <w:spacing w:before="75" w:line="219" w:lineRule="auto"/>
              <w:jc w:val="center"/>
              <w:rPr>
                <w:rFonts w:hint="default" w:ascii="Times New Roman" w:hAnsi="Times New Roman" w:eastAsia="宋体" w:cs="Times New Roman"/>
                <w:spacing w:val="0"/>
                <w:sz w:val="24"/>
                <w:szCs w:val="24"/>
                <w:lang w:val="en-US" w:eastAsia="zh-CN" w:bidi="ar-SA"/>
              </w:rPr>
            </w:pPr>
            <w:r>
              <w:rPr>
                <w:rFonts w:hint="default" w:ascii="Times New Roman" w:hAnsi="Times New Roman" w:eastAsia="宋体" w:cs="Times New Roman"/>
                <w:spacing w:val="0"/>
                <w:sz w:val="24"/>
                <w:szCs w:val="24"/>
                <w:lang w:val="en-US" w:eastAsia="zh-CN" w:bidi="ar-SA"/>
              </w:rPr>
              <w:t>满足(GB1499-1-2024</w:t>
            </w:r>
          </w:p>
          <w:p>
            <w:pPr>
              <w:spacing w:line="240" w:lineRule="atLeast"/>
              <w:ind w:left="720" w:leftChars="200" w:hanging="240" w:hangingChars="10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spacing w:val="0"/>
                <w:sz w:val="24"/>
                <w:szCs w:val="24"/>
                <w:lang w:val="en-US" w:eastAsia="zh-CN" w:bidi="ar-SA"/>
              </w:rPr>
              <w:t>GB1499.2-2024)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8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热轧带肋钢筋</w:t>
            </w:r>
          </w:p>
        </w:tc>
        <w:tc>
          <w:tcPr>
            <w:tcW w:w="2411"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HRB400直径10mm</w:t>
            </w:r>
          </w:p>
        </w:tc>
        <w:tc>
          <w:tcPr>
            <w:tcW w:w="96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392" w:type="dxa"/>
            <w:vAlign w:val="center"/>
          </w:tcPr>
          <w:p>
            <w:pPr>
              <w:spacing w:line="240" w:lineRule="auto"/>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2</w:t>
            </w:r>
          </w:p>
        </w:tc>
        <w:tc>
          <w:tcPr>
            <w:tcW w:w="2903" w:type="dxa"/>
            <w:vMerge w:val="continue"/>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8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热轧带肋钢筋</w:t>
            </w:r>
          </w:p>
        </w:tc>
        <w:tc>
          <w:tcPr>
            <w:tcW w:w="2411"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HRB400直径12mm</w:t>
            </w:r>
          </w:p>
        </w:tc>
        <w:tc>
          <w:tcPr>
            <w:tcW w:w="96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392" w:type="dxa"/>
            <w:vAlign w:val="center"/>
          </w:tcPr>
          <w:p>
            <w:pPr>
              <w:spacing w:line="240" w:lineRule="auto"/>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10</w:t>
            </w:r>
          </w:p>
        </w:tc>
        <w:tc>
          <w:tcPr>
            <w:tcW w:w="2903" w:type="dxa"/>
            <w:vMerge w:val="continue"/>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8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热轧带肋钢筋</w:t>
            </w:r>
          </w:p>
        </w:tc>
        <w:tc>
          <w:tcPr>
            <w:tcW w:w="2411"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HRB400直径14mm</w:t>
            </w:r>
          </w:p>
        </w:tc>
        <w:tc>
          <w:tcPr>
            <w:tcW w:w="96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392" w:type="dxa"/>
            <w:vAlign w:val="center"/>
          </w:tcPr>
          <w:p>
            <w:pPr>
              <w:spacing w:line="240" w:lineRule="auto"/>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160</w:t>
            </w:r>
          </w:p>
        </w:tc>
        <w:tc>
          <w:tcPr>
            <w:tcW w:w="2903" w:type="dxa"/>
            <w:vMerge w:val="continue"/>
            <w:vAlign w:val="center"/>
          </w:tcPr>
          <w:p>
            <w:pPr>
              <w:spacing w:line="240" w:lineRule="atLeast"/>
              <w:ind w:firstLine="42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8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热轧带肋钢筋</w:t>
            </w:r>
          </w:p>
        </w:tc>
        <w:tc>
          <w:tcPr>
            <w:tcW w:w="2411"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HRB400直径16mm</w:t>
            </w:r>
          </w:p>
        </w:tc>
        <w:tc>
          <w:tcPr>
            <w:tcW w:w="96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392" w:type="dxa"/>
            <w:vAlign w:val="center"/>
          </w:tcPr>
          <w:p>
            <w:pPr>
              <w:spacing w:line="240" w:lineRule="auto"/>
              <w:ind w:firstLine="0" w:firstLineChars="0"/>
              <w:jc w:val="center"/>
              <w:textAlignment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160</w:t>
            </w:r>
          </w:p>
        </w:tc>
        <w:tc>
          <w:tcPr>
            <w:tcW w:w="2903" w:type="dxa"/>
            <w:vMerge w:val="continue"/>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8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热轧带肋钢筋</w:t>
            </w:r>
          </w:p>
        </w:tc>
        <w:tc>
          <w:tcPr>
            <w:tcW w:w="2411"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HRB400直径18mm</w:t>
            </w:r>
          </w:p>
        </w:tc>
        <w:tc>
          <w:tcPr>
            <w:tcW w:w="96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392" w:type="dxa"/>
            <w:vAlign w:val="center"/>
          </w:tcPr>
          <w:p>
            <w:pPr>
              <w:spacing w:line="240" w:lineRule="auto"/>
              <w:ind w:firstLine="0" w:firstLineChars="0"/>
              <w:jc w:val="center"/>
              <w:textAlignment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4</w:t>
            </w:r>
          </w:p>
        </w:tc>
        <w:tc>
          <w:tcPr>
            <w:tcW w:w="2903" w:type="dxa"/>
            <w:vMerge w:val="continue"/>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8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热轧带肋钢筋</w:t>
            </w:r>
          </w:p>
        </w:tc>
        <w:tc>
          <w:tcPr>
            <w:tcW w:w="2411"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HRB400直径20mm</w:t>
            </w:r>
          </w:p>
        </w:tc>
        <w:tc>
          <w:tcPr>
            <w:tcW w:w="96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392" w:type="dxa"/>
            <w:vAlign w:val="center"/>
          </w:tcPr>
          <w:p>
            <w:pPr>
              <w:spacing w:line="240" w:lineRule="auto"/>
              <w:ind w:firstLine="0" w:firstLineChars="0"/>
              <w:jc w:val="center"/>
              <w:textAlignment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4</w:t>
            </w:r>
          </w:p>
        </w:tc>
        <w:tc>
          <w:tcPr>
            <w:tcW w:w="2903" w:type="dxa"/>
            <w:vMerge w:val="continue"/>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8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热轧带肋钢筋</w:t>
            </w:r>
          </w:p>
        </w:tc>
        <w:tc>
          <w:tcPr>
            <w:tcW w:w="2411"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HRB400直径22mm</w:t>
            </w:r>
          </w:p>
        </w:tc>
        <w:tc>
          <w:tcPr>
            <w:tcW w:w="96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392" w:type="dxa"/>
            <w:vAlign w:val="center"/>
          </w:tcPr>
          <w:p>
            <w:pPr>
              <w:spacing w:line="240" w:lineRule="auto"/>
              <w:ind w:firstLine="0" w:firstLineChars="0"/>
              <w:jc w:val="center"/>
              <w:textAlignment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30</w:t>
            </w:r>
          </w:p>
        </w:tc>
        <w:tc>
          <w:tcPr>
            <w:tcW w:w="2903" w:type="dxa"/>
            <w:vMerge w:val="continue"/>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8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热轧带肋钢筋</w:t>
            </w:r>
          </w:p>
        </w:tc>
        <w:tc>
          <w:tcPr>
            <w:tcW w:w="2411"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HRB400直径25mm</w:t>
            </w:r>
          </w:p>
        </w:tc>
        <w:tc>
          <w:tcPr>
            <w:tcW w:w="96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392" w:type="dxa"/>
            <w:vAlign w:val="center"/>
          </w:tcPr>
          <w:p>
            <w:pPr>
              <w:spacing w:line="240" w:lineRule="auto"/>
              <w:ind w:firstLine="0" w:firstLineChars="0"/>
              <w:jc w:val="center"/>
              <w:textAlignment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60</w:t>
            </w:r>
          </w:p>
        </w:tc>
        <w:tc>
          <w:tcPr>
            <w:tcW w:w="2903" w:type="dxa"/>
            <w:vMerge w:val="continue"/>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88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p>
        </w:tc>
        <w:tc>
          <w:tcPr>
            <w:tcW w:w="2411"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合计</w:t>
            </w:r>
          </w:p>
        </w:tc>
        <w:tc>
          <w:tcPr>
            <w:tcW w:w="969"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p>
        </w:tc>
        <w:tc>
          <w:tcPr>
            <w:tcW w:w="1392" w:type="dxa"/>
            <w:vAlign w:val="center"/>
          </w:tcPr>
          <w:p>
            <w:pPr>
              <w:spacing w:line="240" w:lineRule="auto"/>
              <w:ind w:firstLine="0" w:firstLineChars="0"/>
              <w:jc w:val="center"/>
              <w:textAlignment w:val="center"/>
              <w:rPr>
                <w:rFonts w:hint="default" w:ascii="Times New Roman" w:hAnsi="Times New Roman" w:eastAsia="宋体" w:cs="Times New Roman"/>
                <w:color w:val="000000"/>
                <w:spacing w:val="0"/>
                <w:sz w:val="24"/>
                <w:szCs w:val="24"/>
              </w:rPr>
            </w:pPr>
            <w:r>
              <w:rPr>
                <w:rFonts w:hint="default" w:ascii="Times New Roman" w:hAnsi="Times New Roman" w:eastAsia="宋体" w:cs="Times New Roman"/>
                <w:color w:val="000000"/>
                <w:spacing w:val="0"/>
                <w:sz w:val="24"/>
                <w:szCs w:val="24"/>
              </w:rPr>
              <w:t>450</w:t>
            </w:r>
          </w:p>
        </w:tc>
        <w:tc>
          <w:tcPr>
            <w:tcW w:w="2903"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p>
        </w:tc>
      </w:tr>
    </w:tbl>
    <w:p>
      <w:pPr>
        <w:pStyle w:val="4"/>
        <w:keepNext w:val="0"/>
        <w:keepLines w:val="0"/>
        <w:pageBreakBefore w:val="0"/>
        <w:widowControl w:val="0"/>
        <w:kinsoku/>
        <w:wordWrap/>
        <w:overflowPunct/>
        <w:topLinePunct w:val="0"/>
        <w:autoSpaceDE/>
        <w:autoSpaceDN/>
        <w:bidi w:val="0"/>
        <w:adjustRightInd/>
        <w:snapToGrid/>
        <w:spacing w:before="0" w:beforeLines="50" w:line="324" w:lineRule="auto"/>
        <w:ind w:firstLine="482"/>
        <w:jc w:val="both"/>
        <w:textAlignment w:val="auto"/>
        <w:rPr>
          <w:rFonts w:ascii="Times New Roman" w:hAnsi="Times New Roman" w:cs="Times New Roman"/>
          <w:b/>
          <w:bCs/>
          <w:szCs w:val="21"/>
        </w:rPr>
      </w:pPr>
      <w:r>
        <w:rPr>
          <w:rFonts w:hint="default" w:ascii="Times New Roman" w:hAnsi="Times New Roman" w:eastAsia="宋体" w:cs="Times New Roman"/>
          <w:spacing w:val="0"/>
          <w:sz w:val="24"/>
          <w:szCs w:val="24"/>
          <w:lang w:val="en-US" w:eastAsia="zh-CN"/>
        </w:rPr>
        <w:t>3</w:t>
      </w:r>
      <w:r>
        <w:rPr>
          <w:rFonts w:hint="default" w:ascii="Times New Roman" w:hAnsi="Times New Roman" w:eastAsia="宋体" w:cs="Times New Roman"/>
          <w:spacing w:val="0"/>
          <w:sz w:val="24"/>
          <w:szCs w:val="24"/>
        </w:rPr>
        <w:t>、</w:t>
      </w:r>
      <w:r>
        <w:rPr>
          <w:rFonts w:ascii="Times New Roman" w:hAnsi="Times New Roman" w:cs="Times New Roman"/>
          <w:color w:val="000000"/>
          <w:szCs w:val="21"/>
        </w:rPr>
        <w:t>报价以</w:t>
      </w:r>
      <w:r>
        <w:rPr>
          <w:rFonts w:hint="eastAsia" w:ascii="宋体" w:hAnsi="宋体" w:eastAsia="宋体" w:cs="宋体"/>
          <w:color w:val="000000"/>
          <w:szCs w:val="21"/>
        </w:rPr>
        <w:t>“我的钢铁网”</w:t>
      </w:r>
      <w:r>
        <w:rPr>
          <w:rFonts w:hint="eastAsia" w:ascii="宋体" w:hAnsi="宋体" w:eastAsia="宋体" w:cs="宋体"/>
          <w:color w:val="000000"/>
          <w:szCs w:val="21"/>
          <w:lang w:eastAsia="zh-CN"/>
        </w:rPr>
        <w:t>（</w:t>
      </w:r>
      <w:r>
        <w:rPr>
          <w:rFonts w:ascii="Times New Roman" w:hAnsi="Times New Roman" w:cs="Times New Roman"/>
          <w:color w:val="000000"/>
          <w:szCs w:val="21"/>
        </w:rPr>
        <w:t>www.mysteel.com</w:t>
      </w:r>
      <w:r>
        <w:rPr>
          <w:rFonts w:hint="eastAsia" w:ascii="Times New Roman" w:hAnsi="Times New Roman" w:cs="Times New Roman"/>
          <w:color w:val="000000"/>
          <w:szCs w:val="21"/>
          <w:lang w:eastAsia="zh-CN"/>
        </w:rPr>
        <w:t>）</w:t>
      </w:r>
      <w:r>
        <w:rPr>
          <w:rFonts w:ascii="Times New Roman" w:hAnsi="Times New Roman" w:cs="Times New Roman"/>
          <w:color w:val="auto"/>
          <w:szCs w:val="21"/>
          <w:highlight w:val="none"/>
        </w:rPr>
        <w:t>202</w:t>
      </w:r>
      <w:r>
        <w:rPr>
          <w:rFonts w:hint="eastAsia" w:ascii="Times New Roman" w:hAnsi="Times New Roman" w:cs="Times New Roman"/>
          <w:color w:val="auto"/>
          <w:szCs w:val="21"/>
          <w:highlight w:val="none"/>
          <w:lang w:val="en-US" w:eastAsia="zh-CN"/>
        </w:rPr>
        <w:t>5</w:t>
      </w:r>
      <w:r>
        <w:rPr>
          <w:rFonts w:ascii="Times New Roman" w:hAnsi="Times New Roman" w:cs="Times New Roman"/>
          <w:color w:val="auto"/>
          <w:szCs w:val="21"/>
          <w:highlight w:val="none"/>
        </w:rPr>
        <w:t>年</w:t>
      </w:r>
      <w:r>
        <w:rPr>
          <w:rFonts w:hint="eastAsia" w:ascii="Times New Roman" w:hAnsi="Times New Roman" w:cs="Times New Roman"/>
          <w:bCs/>
          <w:color w:val="auto"/>
          <w:kern w:val="44"/>
          <w:szCs w:val="28"/>
          <w:highlight w:val="none"/>
          <w:lang w:val="en-US" w:eastAsia="zh-CN"/>
        </w:rPr>
        <w:t>4</w:t>
      </w:r>
      <w:r>
        <w:rPr>
          <w:rFonts w:ascii="Times New Roman" w:hAnsi="Times New Roman" w:cs="Times New Roman"/>
          <w:color w:val="auto"/>
          <w:szCs w:val="21"/>
          <w:highlight w:val="none"/>
        </w:rPr>
        <w:t>月</w:t>
      </w:r>
      <w:r>
        <w:rPr>
          <w:rFonts w:hint="eastAsia" w:ascii="Times New Roman" w:hAnsi="Times New Roman" w:cs="Times New Roman"/>
          <w:color w:val="auto"/>
          <w:szCs w:val="21"/>
          <w:highlight w:val="none"/>
          <w:lang w:val="en-US" w:eastAsia="zh-CN"/>
        </w:rPr>
        <w:t>16</w:t>
      </w:r>
      <w:r>
        <w:rPr>
          <w:rFonts w:ascii="Times New Roman" w:hAnsi="Times New Roman" w:cs="Times New Roman"/>
          <w:color w:val="auto"/>
          <w:szCs w:val="21"/>
          <w:highlight w:val="none"/>
        </w:rPr>
        <w:t>日</w:t>
      </w:r>
      <w:r>
        <w:rPr>
          <w:rFonts w:ascii="Times New Roman" w:hAnsi="Times New Roman" w:cs="Times New Roman"/>
          <w:color w:val="000000"/>
          <w:szCs w:val="21"/>
        </w:rPr>
        <w:t>第一次发布的</w:t>
      </w:r>
      <w:r>
        <w:rPr>
          <w:rFonts w:hint="eastAsia"/>
          <w:b/>
          <w:bCs/>
          <w:color w:val="FF0000"/>
          <w:u w:val="single"/>
        </w:rPr>
        <w:t>江苏镔鑫、</w:t>
      </w:r>
      <w:r>
        <w:rPr>
          <w:rFonts w:hint="eastAsia"/>
          <w:b/>
          <w:bCs/>
          <w:color w:val="FF0000"/>
          <w:u w:val="single"/>
          <w:lang w:val="en-US" w:eastAsia="zh-CN"/>
        </w:rPr>
        <w:t>日照、</w:t>
      </w:r>
      <w:r>
        <w:rPr>
          <w:rFonts w:hint="eastAsia"/>
          <w:b/>
          <w:bCs/>
          <w:color w:val="FF0000"/>
          <w:u w:val="single"/>
        </w:rPr>
        <w:t>安徽富鑫</w:t>
      </w:r>
      <w:r>
        <w:rPr>
          <w:rFonts w:ascii="Times New Roman" w:hAnsi="Times New Roman" w:cs="Times New Roman"/>
          <w:color w:val="000000"/>
          <w:szCs w:val="21"/>
        </w:rPr>
        <w:t>各种直径规格</w:t>
      </w:r>
      <w:r>
        <w:rPr>
          <w:rFonts w:ascii="Times New Roman" w:hAnsi="Times New Roman" w:cs="Times New Roman"/>
          <w:bCs/>
          <w:color w:val="000000"/>
          <w:szCs w:val="21"/>
        </w:rPr>
        <w:t>钢筋的</w:t>
      </w:r>
      <w:r>
        <w:rPr>
          <w:rFonts w:ascii="Times New Roman" w:hAnsi="Times New Roman" w:cs="Times New Roman"/>
          <w:b/>
          <w:color w:val="000000"/>
          <w:szCs w:val="21"/>
        </w:rPr>
        <w:t>上海地区价格</w:t>
      </w:r>
      <w:r>
        <w:rPr>
          <w:rFonts w:ascii="Times New Roman" w:hAnsi="Times New Roman" w:cs="Times New Roman"/>
          <w:b/>
          <w:color w:val="0000FF"/>
          <w:szCs w:val="21"/>
        </w:rPr>
        <w:t>（非备注栏价格，下同）</w:t>
      </w:r>
      <w:r>
        <w:rPr>
          <w:rFonts w:ascii="Times New Roman" w:hAnsi="Times New Roman" w:cs="Times New Roman"/>
          <w:bCs/>
          <w:color w:val="000000"/>
          <w:szCs w:val="21"/>
        </w:rPr>
        <w:t>为基准</w:t>
      </w:r>
      <w:r>
        <w:rPr>
          <w:rFonts w:hint="eastAsia" w:ascii="Times New Roman" w:hAnsi="Times New Roman" w:cs="Times New Roman"/>
          <w:bCs/>
          <w:color w:val="000000"/>
          <w:szCs w:val="21"/>
          <w:lang w:val="en-US" w:eastAsia="zh-CN"/>
        </w:rPr>
        <w:t>价</w:t>
      </w:r>
      <w:r>
        <w:rPr>
          <w:rFonts w:ascii="Times New Roman" w:hAnsi="Times New Roman" w:cs="Times New Roman"/>
          <w:b/>
          <w:color w:val="000000"/>
          <w:szCs w:val="21"/>
        </w:rPr>
        <w:t>报统一上下浮价</w:t>
      </w:r>
      <w:r>
        <w:rPr>
          <w:rFonts w:hint="eastAsia" w:ascii="Times New Roman" w:hAnsi="Times New Roman" w:cs="Times New Roman"/>
          <w:b w:val="0"/>
          <w:bCs/>
          <w:color w:val="000000"/>
          <w:szCs w:val="21"/>
          <w:lang w:eastAsia="zh-CN"/>
        </w:rPr>
        <w:t>，</w:t>
      </w:r>
      <w:r>
        <w:rPr>
          <w:rFonts w:ascii="Times New Roman" w:hAnsi="Times New Roman" w:cs="Times New Roman"/>
          <w:color w:val="000000"/>
          <w:szCs w:val="21"/>
        </w:rPr>
        <w:t>该上下浮价报价为</w:t>
      </w:r>
      <w:r>
        <w:rPr>
          <w:rFonts w:ascii="Times New Roman" w:hAnsi="Times New Roman" w:cs="Times New Roman"/>
          <w:b/>
          <w:bCs/>
          <w:color w:val="000000"/>
          <w:szCs w:val="21"/>
        </w:rPr>
        <w:t>投标报价表</w:t>
      </w:r>
      <w:r>
        <w:rPr>
          <w:rFonts w:ascii="Times New Roman" w:hAnsi="Times New Roman" w:cs="Times New Roman"/>
          <w:color w:val="000000"/>
          <w:szCs w:val="21"/>
        </w:rPr>
        <w:t>所列规格钢材的上下浮价</w:t>
      </w:r>
      <w:r>
        <w:rPr>
          <w:rFonts w:ascii="Times New Roman" w:hAnsi="Times New Roman" w:cs="Times New Roman"/>
          <w:bCs/>
          <w:color w:val="000000"/>
          <w:szCs w:val="21"/>
        </w:rPr>
        <w:t>；</w:t>
      </w:r>
      <w:r>
        <w:rPr>
          <w:rFonts w:ascii="Times New Roman" w:hAnsi="Times New Roman" w:cs="Times New Roman"/>
          <w:b/>
          <w:szCs w:val="21"/>
        </w:rPr>
        <w:t>最终结算单价按如下方式计算</w:t>
      </w:r>
      <w:r>
        <w:rPr>
          <w:rFonts w:ascii="Times New Roman" w:hAnsi="Times New Roman" w:cs="Times New Roman"/>
          <w:b/>
          <w:color w:val="000000"/>
          <w:szCs w:val="21"/>
        </w:rPr>
        <w:t>：</w:t>
      </w:r>
      <w:r>
        <w:rPr>
          <w:rFonts w:hint="eastAsia" w:ascii="宋体" w:hAnsi="宋体" w:eastAsia="宋体"/>
          <w:b w:val="0"/>
          <w:bCs/>
          <w:color w:val="auto"/>
          <w:szCs w:val="21"/>
          <w:highlight w:val="none"/>
          <w:lang w:val="en-US" w:eastAsia="zh-CN"/>
        </w:rPr>
        <w:t>①HPB300直径为10mm的热轧光圆钢筋最终结算单价（元/吨）=订货通知单当天“我的钢铁网”第一次发布的</w:t>
      </w:r>
      <w:r>
        <w:rPr>
          <w:rFonts w:hint="eastAsia" w:ascii="宋体" w:hAnsi="宋体" w:eastAsia="宋体" w:cs="Arial"/>
          <w:b/>
          <w:bCs/>
          <w:color w:val="FF0000"/>
          <w:kern w:val="2"/>
          <w:szCs w:val="24"/>
          <w:u w:val="single"/>
        </w:rPr>
        <w:t>江苏镔鑫</w:t>
      </w:r>
      <w:r>
        <w:rPr>
          <w:rFonts w:hint="eastAsia" w:ascii="宋体" w:hAnsi="宋体" w:eastAsia="宋体"/>
          <w:b w:val="0"/>
          <w:bCs/>
          <w:color w:val="auto"/>
          <w:szCs w:val="21"/>
          <w:highlight w:val="none"/>
          <w:lang w:val="en-US" w:eastAsia="zh-CN"/>
        </w:rPr>
        <w:t>该规格钢材的上海地区价格±上下浮价；②</w:t>
      </w:r>
      <w:r>
        <w:rPr>
          <w:rFonts w:hint="default" w:ascii="Times New Roman" w:hAnsi="Times New Roman" w:cs="Times New Roman"/>
          <w:szCs w:val="21"/>
        </w:rPr>
        <w:t>HRB400直径为10mm的热轧带肋钢筋最终结算单价（元/吨）=订货</w:t>
      </w:r>
      <w:r>
        <w:rPr>
          <w:rFonts w:hint="eastAsia"/>
          <w:szCs w:val="21"/>
        </w:rPr>
        <w:t>通知单当天“我的钢铁网”第一次发布的</w:t>
      </w:r>
      <w:r>
        <w:rPr>
          <w:rFonts w:hint="eastAsia" w:ascii="宋体" w:hAnsi="宋体" w:eastAsia="宋体" w:cs="Arial"/>
          <w:b/>
          <w:bCs/>
          <w:color w:val="FF0000"/>
          <w:kern w:val="2"/>
          <w:szCs w:val="24"/>
          <w:u w:val="single"/>
        </w:rPr>
        <w:t>日照</w:t>
      </w:r>
      <w:r>
        <w:rPr>
          <w:rFonts w:hint="eastAsia"/>
          <w:szCs w:val="21"/>
        </w:rPr>
        <w:t>该规格钢材的上海地区价格±上下浮价；③除直径为</w:t>
      </w:r>
      <w:r>
        <w:rPr>
          <w:rFonts w:hint="default" w:ascii="Times New Roman" w:hAnsi="Times New Roman" w:cs="Times New Roman"/>
          <w:szCs w:val="21"/>
        </w:rPr>
        <w:t>10mm以</w:t>
      </w:r>
      <w:r>
        <w:rPr>
          <w:rFonts w:hint="eastAsia"/>
          <w:szCs w:val="21"/>
        </w:rPr>
        <w:t>外</w:t>
      </w:r>
      <w:r>
        <w:rPr>
          <w:rFonts w:hint="eastAsia" w:ascii="宋体" w:hAnsi="宋体" w:eastAsia="宋体"/>
          <w:b w:val="0"/>
          <w:bCs/>
          <w:color w:val="auto"/>
          <w:szCs w:val="21"/>
          <w:highlight w:val="none"/>
          <w:lang w:val="en-US" w:eastAsia="zh-CN"/>
        </w:rPr>
        <w:t>的各直径规格钢筋最终结算单价（元/吨）=订货通知单当天“我的钢铁网”第一次发布的</w:t>
      </w:r>
      <w:r>
        <w:rPr>
          <w:rFonts w:hint="eastAsia"/>
          <w:b/>
          <w:bCs/>
          <w:color w:val="FF0000"/>
          <w:u w:val="single"/>
        </w:rPr>
        <w:t>安徽富鑫</w:t>
      </w:r>
      <w:r>
        <w:rPr>
          <w:rFonts w:hint="eastAsia" w:ascii="宋体" w:hAnsi="宋体" w:eastAsia="宋体"/>
          <w:b w:val="0"/>
          <w:bCs/>
          <w:color w:val="auto"/>
          <w:szCs w:val="21"/>
          <w:highlight w:val="none"/>
          <w:lang w:val="en-US" w:eastAsia="zh-CN"/>
        </w:rPr>
        <w:t>各种规格钢材的上海地区价格±上下浮价</w:t>
      </w:r>
      <w:r>
        <w:rPr>
          <w:rFonts w:hint="eastAsia" w:ascii="宋体" w:hAnsi="宋体" w:eastAsia="宋体"/>
          <w:color w:val="auto"/>
          <w:szCs w:val="21"/>
          <w:highlight w:val="none"/>
        </w:rPr>
        <w:t>。</w:t>
      </w:r>
      <w:r>
        <w:rPr>
          <w:rFonts w:hint="eastAsia" w:ascii="宋体" w:hAnsi="宋体" w:eastAsia="宋体"/>
          <w:b/>
          <w:bCs/>
          <w:color w:val="auto"/>
          <w:szCs w:val="21"/>
          <w:highlight w:val="none"/>
        </w:rPr>
        <w:t>“订货通知单”须注明各</w:t>
      </w:r>
      <w:r>
        <w:rPr>
          <w:rFonts w:hint="eastAsia" w:ascii="宋体" w:hAnsi="宋体" w:eastAsia="宋体"/>
          <w:b/>
          <w:bCs/>
          <w:color w:val="auto"/>
          <w:szCs w:val="21"/>
          <w:highlight w:val="none"/>
          <w:lang w:val="en-US" w:eastAsia="zh-CN"/>
        </w:rPr>
        <w:t>基准价</w:t>
      </w:r>
      <w:r>
        <w:rPr>
          <w:rFonts w:hint="eastAsia" w:ascii="宋体" w:hAnsi="宋体" w:eastAsia="宋体"/>
          <w:b/>
          <w:bCs/>
          <w:color w:val="auto"/>
          <w:szCs w:val="21"/>
          <w:highlight w:val="none"/>
        </w:rPr>
        <w:t>品牌规格钢材当天的网牌价</w:t>
      </w:r>
      <w:r>
        <w:rPr>
          <w:rFonts w:hint="eastAsia" w:ascii="宋体" w:hAnsi="宋体"/>
          <w:b/>
          <w:bCs/>
          <w:color w:val="auto"/>
          <w:szCs w:val="21"/>
          <w:highlight w:val="none"/>
          <w:lang w:eastAsia="zh-CN"/>
        </w:rPr>
        <w:t>，</w:t>
      </w:r>
      <w:r>
        <w:rPr>
          <w:rFonts w:ascii="Times New Roman" w:hAnsi="Times New Roman" w:cs="Times New Roman"/>
          <w:b/>
          <w:bCs/>
          <w:szCs w:val="21"/>
        </w:rPr>
        <w:t>实际结算单价与实际所供品牌</w:t>
      </w:r>
      <w:r>
        <w:rPr>
          <w:rFonts w:hint="eastAsia" w:ascii="Times New Roman" w:hAnsi="Times New Roman" w:cs="Times New Roman"/>
          <w:b/>
          <w:bCs/>
          <w:szCs w:val="21"/>
          <w:lang w:eastAsia="zh-CN"/>
        </w:rPr>
        <w:t>（</w:t>
      </w:r>
      <w:r>
        <w:rPr>
          <w:rFonts w:hint="eastAsia" w:ascii="Times New Roman" w:hAnsi="Times New Roman" w:cs="Times New Roman"/>
          <w:b/>
          <w:bCs/>
          <w:szCs w:val="21"/>
          <w:lang w:val="en-US" w:eastAsia="zh-CN"/>
        </w:rPr>
        <w:t>基准价品牌除外</w:t>
      </w:r>
      <w:r>
        <w:rPr>
          <w:rFonts w:hint="eastAsia" w:ascii="Times New Roman" w:hAnsi="Times New Roman" w:cs="Times New Roman"/>
          <w:b/>
          <w:bCs/>
          <w:szCs w:val="21"/>
          <w:lang w:eastAsia="zh-CN"/>
        </w:rPr>
        <w:t>）</w:t>
      </w:r>
      <w:r>
        <w:rPr>
          <w:rFonts w:ascii="Times New Roman" w:hAnsi="Times New Roman" w:cs="Times New Roman"/>
          <w:b/>
          <w:bCs/>
          <w:szCs w:val="21"/>
        </w:rPr>
        <w:t>的网牌价无关。</w:t>
      </w:r>
    </w:p>
    <w:p>
      <w:pPr>
        <w:keepNext w:val="0"/>
        <w:keepLines w:val="0"/>
        <w:pageBreakBefore w:val="0"/>
        <w:widowControl w:val="0"/>
        <w:kinsoku/>
        <w:wordWrap/>
        <w:overflowPunct/>
        <w:topLinePunct w:val="0"/>
        <w:autoSpaceDE/>
        <w:autoSpaceDN/>
        <w:bidi w:val="0"/>
        <w:adjustRightInd/>
        <w:snapToGrid/>
        <w:spacing w:line="324" w:lineRule="auto"/>
        <w:ind w:firstLine="480" w:firstLineChars="0"/>
        <w:jc w:val="both"/>
        <w:textAlignment w:val="auto"/>
        <w:rPr>
          <w:szCs w:val="21"/>
        </w:rPr>
      </w:pPr>
      <w:r>
        <w:rPr>
          <w:szCs w:val="21"/>
        </w:rPr>
        <w:t>投标报价均包含</w:t>
      </w:r>
      <w:r>
        <w:rPr>
          <w:rFonts w:hint="eastAsia"/>
        </w:rPr>
        <w:t>货款、运输费、管理费、利润、税费，并包含</w:t>
      </w:r>
      <w:r>
        <w:rPr>
          <w:rFonts w:hint="eastAsia"/>
          <w:lang w:eastAsia="zh-CN"/>
        </w:rPr>
        <w:t>钢筋</w:t>
      </w:r>
      <w:r>
        <w:rPr>
          <w:rFonts w:hint="eastAsia"/>
        </w:rPr>
        <w:t>装车、运输、卸车等全过程的安全保险、措施、以及如发生安全事故导致的赔偿等全部费用，</w:t>
      </w:r>
      <w:r>
        <w:t>提供税率为</w:t>
      </w:r>
      <w:r>
        <w:rPr>
          <w:u w:val="single"/>
        </w:rPr>
        <w:t>13%</w:t>
      </w:r>
      <w:r>
        <w:t>的增值税专用发票（税金由中标人承担，包含在</w:t>
      </w:r>
      <w:r>
        <w:rPr>
          <w:rFonts w:hint="eastAsia"/>
          <w:lang w:eastAsia="zh-CN"/>
        </w:rPr>
        <w:t>钢筋</w:t>
      </w:r>
      <w:r>
        <w:t>价格中），</w:t>
      </w:r>
      <w:r>
        <w:rPr>
          <w:rFonts w:hint="eastAsia"/>
        </w:rPr>
        <w:t>中标人不得以任何理由额外索取任何用</w:t>
      </w:r>
      <w:r>
        <w:t>。</w:t>
      </w:r>
    </w:p>
    <w:p>
      <w:pPr>
        <w:keepNext w:val="0"/>
        <w:keepLines w:val="0"/>
        <w:pageBreakBefore w:val="0"/>
        <w:widowControl/>
        <w:kinsoku/>
        <w:wordWrap/>
        <w:overflowPunct/>
        <w:topLinePunct w:val="0"/>
        <w:autoSpaceDE/>
        <w:autoSpaceDN/>
        <w:bidi w:val="0"/>
        <w:adjustRightInd/>
        <w:snapToGrid/>
        <w:spacing w:line="324" w:lineRule="auto"/>
        <w:ind w:right="98" w:firstLine="479"/>
        <w:textAlignment w:val="auto"/>
        <w:rPr>
          <w:rFonts w:hint="default" w:ascii="Times New Roman" w:hAnsi="Times New Roman" w:eastAsia="宋体" w:cs="Times New Roman"/>
          <w:spacing w:val="0"/>
          <w:sz w:val="24"/>
          <w:szCs w:val="24"/>
        </w:rPr>
      </w:pPr>
      <w:r>
        <w:rPr>
          <w:rFonts w:hint="eastAsia" w:ascii="Times New Roman" w:hAnsi="Times New Roman" w:eastAsia="宋体" w:cs="Times New Roman"/>
          <w:spacing w:val="0"/>
          <w:sz w:val="24"/>
          <w:szCs w:val="24"/>
          <w:lang w:val="en-US" w:eastAsia="zh-CN"/>
        </w:rPr>
        <w:t>4</w:t>
      </w:r>
      <w:r>
        <w:rPr>
          <w:rFonts w:hint="default" w:ascii="Times New Roman" w:hAnsi="Times New Roman" w:eastAsia="宋体" w:cs="Times New Roman"/>
          <w:spacing w:val="0"/>
          <w:sz w:val="24"/>
          <w:szCs w:val="24"/>
          <w:lang w:val="en-US" w:eastAsia="zh-CN"/>
        </w:rPr>
        <w:t>、供货时间：预计在2025年4月2</w:t>
      </w:r>
      <w:r>
        <w:rPr>
          <w:rFonts w:hint="eastAsia" w:cs="Times New Roman"/>
          <w:spacing w:val="0"/>
          <w:sz w:val="24"/>
          <w:szCs w:val="24"/>
          <w:lang w:val="en-US" w:eastAsia="zh-CN"/>
        </w:rPr>
        <w:t>6</w:t>
      </w:r>
      <w:r>
        <w:rPr>
          <w:rFonts w:hint="default" w:ascii="Times New Roman" w:hAnsi="Times New Roman" w:eastAsia="宋体" w:cs="Times New Roman"/>
          <w:spacing w:val="0"/>
          <w:sz w:val="24"/>
          <w:szCs w:val="24"/>
          <w:lang w:val="en-US" w:eastAsia="zh-CN"/>
        </w:rPr>
        <w:t>日至2026年4月30日完成供应。</w:t>
      </w:r>
      <w:r>
        <w:rPr>
          <w:rFonts w:hint="default" w:ascii="Times New Roman" w:hAnsi="Times New Roman" w:eastAsia="宋体" w:cs="Times New Roman"/>
          <w:spacing w:val="0"/>
          <w:sz w:val="24"/>
          <w:szCs w:val="24"/>
        </w:rPr>
        <w:t>供应本次采购共约</w:t>
      </w:r>
      <w:r>
        <w:rPr>
          <w:rFonts w:hint="default" w:ascii="Times New Roman" w:hAnsi="Times New Roman" w:eastAsia="宋体" w:cs="Times New Roman"/>
          <w:spacing w:val="0"/>
          <w:sz w:val="24"/>
          <w:szCs w:val="24"/>
          <w:lang w:val="en-US" w:eastAsia="zh-CN"/>
        </w:rPr>
        <w:t>450</w:t>
      </w:r>
      <w:r>
        <w:rPr>
          <w:rFonts w:hint="default" w:ascii="Times New Roman" w:hAnsi="Times New Roman" w:eastAsia="宋体" w:cs="Times New Roman"/>
          <w:spacing w:val="0"/>
          <w:sz w:val="24"/>
          <w:szCs w:val="24"/>
        </w:rPr>
        <w:t>吨，具体规格数量以项目部实际需要为准，具体送货时间、规格、数量以项目部根据工期计划提前3天通知。</w:t>
      </w:r>
    </w:p>
    <w:p>
      <w:pPr>
        <w:keepNext w:val="0"/>
        <w:keepLines w:val="0"/>
        <w:pageBreakBefore w:val="0"/>
        <w:widowControl/>
        <w:kinsoku/>
        <w:wordWrap/>
        <w:overflowPunct/>
        <w:topLinePunct w:val="0"/>
        <w:autoSpaceDE/>
        <w:autoSpaceDN/>
        <w:bidi w:val="0"/>
        <w:adjustRightInd/>
        <w:snapToGrid/>
        <w:spacing w:line="324" w:lineRule="auto"/>
        <w:ind w:right="98" w:firstLine="479"/>
        <w:textAlignment w:val="auto"/>
        <w:rPr>
          <w:rFonts w:hint="default" w:ascii="Times New Roman" w:hAnsi="Times New Roman" w:eastAsia="宋体" w:cs="Times New Roman"/>
          <w:spacing w:val="0"/>
          <w:sz w:val="24"/>
          <w:szCs w:val="24"/>
          <w:lang w:val="en-US" w:eastAsia="zh-CN"/>
        </w:rPr>
      </w:pPr>
      <w:r>
        <w:rPr>
          <w:rFonts w:hint="eastAsia" w:ascii="Times New Roman" w:hAnsi="Times New Roman" w:eastAsia="宋体" w:cs="Times New Roman"/>
          <w:spacing w:val="0"/>
          <w:sz w:val="24"/>
          <w:szCs w:val="24"/>
          <w:lang w:val="en-US" w:eastAsia="zh-CN"/>
        </w:rPr>
        <w:t>5</w:t>
      </w:r>
      <w:r>
        <w:rPr>
          <w:rFonts w:hint="default" w:ascii="Times New Roman" w:hAnsi="Times New Roman" w:eastAsia="宋体" w:cs="Times New Roman"/>
          <w:spacing w:val="0"/>
          <w:sz w:val="24"/>
          <w:szCs w:val="24"/>
          <w:lang w:val="en-US" w:eastAsia="zh-CN"/>
        </w:rPr>
        <w:t>、送货地点：洪泽湖周边滞洪区近期建设工程（泗洪县）施工16标施工现场。</w:t>
      </w:r>
      <w:r>
        <w:rPr>
          <w:rFonts w:hint="default" w:ascii="Times New Roman" w:hAnsi="Times New Roman" w:eastAsia="宋体" w:cs="Times New Roman"/>
          <w:spacing w:val="-1"/>
          <w:sz w:val="24"/>
          <w:szCs w:val="24"/>
        </w:rPr>
        <w:t>具体地址由投标人与工程项目部联</w:t>
      </w:r>
      <w:r>
        <w:rPr>
          <w:rFonts w:hint="default" w:ascii="Times New Roman" w:hAnsi="Times New Roman" w:eastAsia="宋体" w:cs="Times New Roman"/>
          <w:spacing w:val="-2"/>
          <w:sz w:val="24"/>
          <w:szCs w:val="24"/>
        </w:rPr>
        <w:t>系确认</w:t>
      </w:r>
      <w:r>
        <w:rPr>
          <w:rFonts w:hint="default" w:ascii="Times New Roman" w:hAnsi="Times New Roman" w:eastAsia="宋体" w:cs="Times New Roman"/>
          <w:spacing w:val="-2"/>
          <w:sz w:val="24"/>
          <w:szCs w:val="24"/>
          <w:lang w:eastAsia="zh-CN"/>
        </w:rPr>
        <w:t>。</w:t>
      </w:r>
    </w:p>
    <w:p>
      <w:pPr>
        <w:keepNext w:val="0"/>
        <w:keepLines w:val="0"/>
        <w:pageBreakBefore w:val="0"/>
        <w:widowControl/>
        <w:kinsoku/>
        <w:wordWrap/>
        <w:overflowPunct/>
        <w:topLinePunct w:val="0"/>
        <w:autoSpaceDE/>
        <w:autoSpaceDN/>
        <w:bidi w:val="0"/>
        <w:adjustRightInd/>
        <w:snapToGrid/>
        <w:spacing w:line="324" w:lineRule="auto"/>
        <w:ind w:right="98" w:firstLine="479"/>
        <w:textAlignment w:val="auto"/>
        <w:rPr>
          <w:rFonts w:hint="default" w:ascii="Times New Roman" w:hAnsi="Times New Roman" w:eastAsia="宋体" w:cs="Times New Roman"/>
          <w:spacing w:val="0"/>
          <w:sz w:val="24"/>
          <w:szCs w:val="24"/>
        </w:rPr>
      </w:pPr>
      <w:r>
        <w:rPr>
          <w:rFonts w:hint="eastAsia" w:ascii="Times New Roman" w:hAnsi="Times New Roman" w:eastAsia="宋体" w:cs="Times New Roman"/>
          <w:spacing w:val="0"/>
          <w:sz w:val="24"/>
          <w:szCs w:val="24"/>
          <w:lang w:val="en-US" w:eastAsia="zh-CN"/>
        </w:rPr>
        <w:t>6</w:t>
      </w:r>
      <w:r>
        <w:rPr>
          <w:rFonts w:hint="default" w:ascii="Times New Roman" w:hAnsi="Times New Roman" w:eastAsia="宋体" w:cs="Times New Roman"/>
          <w:spacing w:val="0"/>
          <w:sz w:val="24"/>
          <w:szCs w:val="24"/>
          <w:lang w:val="en-US" w:eastAsia="zh-CN"/>
        </w:rPr>
        <w:t>、</w:t>
      </w:r>
      <w:r>
        <w:rPr>
          <w:rFonts w:hint="default" w:ascii="Times New Roman" w:hAnsi="Times New Roman" w:eastAsia="宋体" w:cs="Times New Roman"/>
          <w:spacing w:val="0"/>
          <w:sz w:val="24"/>
          <w:szCs w:val="24"/>
        </w:rPr>
        <w:t>钢筋质量满足GB/T1499.1-2024、GB/T1499.2-2024标准及相关规范要求。合同签订后有最新标准的，自动执行最新标准。如若供应过程中项目部查出供应商用其他劣质品牌钢筋冒充合同约定品牌的，项目部将没收其履约保证金。造成项目部相关损失的(包括但不限于工程产品报废、返工返修、工期延误、鉴定费、</w:t>
      </w:r>
      <w:r>
        <w:rPr>
          <w:rFonts w:hint="eastAsia" w:ascii="Times New Roman" w:hAnsi="Times New Roman" w:eastAsia="宋体" w:cs="Times New Roman"/>
          <w:spacing w:val="0"/>
          <w:sz w:val="24"/>
          <w:szCs w:val="24"/>
          <w:lang w:val="en-US" w:eastAsia="zh-CN"/>
        </w:rPr>
        <w:t>诉讼费、</w:t>
      </w:r>
      <w:r>
        <w:rPr>
          <w:rFonts w:hint="default" w:ascii="Times New Roman" w:hAnsi="Times New Roman" w:eastAsia="宋体" w:cs="Times New Roman"/>
          <w:spacing w:val="0"/>
          <w:sz w:val="24"/>
          <w:szCs w:val="24"/>
        </w:rPr>
        <w:t>律师费、差旅费等费用和损失),负责赔偿相关损失，并承担相关责任。</w:t>
      </w:r>
    </w:p>
    <w:p>
      <w:pPr>
        <w:keepNext w:val="0"/>
        <w:keepLines w:val="0"/>
        <w:pageBreakBefore w:val="0"/>
        <w:widowControl/>
        <w:kinsoku/>
        <w:wordWrap/>
        <w:overflowPunct/>
        <w:topLinePunct w:val="0"/>
        <w:autoSpaceDE/>
        <w:autoSpaceDN/>
        <w:bidi w:val="0"/>
        <w:adjustRightInd/>
        <w:snapToGrid/>
        <w:spacing w:line="324" w:lineRule="auto"/>
        <w:ind w:right="98" w:firstLine="479"/>
        <w:textAlignment w:val="auto"/>
        <w:rPr>
          <w:rFonts w:hint="default" w:ascii="Times New Roman" w:hAnsi="Times New Roman" w:eastAsia="宋体" w:cs="Times New Roman"/>
          <w:color w:val="FF0000"/>
          <w:spacing w:val="0"/>
          <w:sz w:val="24"/>
          <w:szCs w:val="24"/>
          <w:lang w:val="en-US" w:eastAsia="zh-CN"/>
        </w:rPr>
      </w:pPr>
      <w:r>
        <w:rPr>
          <w:rFonts w:hint="eastAsia" w:ascii="Times New Roman" w:hAnsi="Times New Roman" w:eastAsia="宋体" w:cs="Times New Roman"/>
          <w:spacing w:val="0"/>
          <w:sz w:val="24"/>
          <w:szCs w:val="24"/>
          <w:lang w:val="en-US" w:eastAsia="zh-CN"/>
        </w:rPr>
        <w:t>7</w:t>
      </w:r>
      <w:r>
        <w:rPr>
          <w:rFonts w:hint="default" w:ascii="Times New Roman" w:hAnsi="Times New Roman" w:eastAsia="宋体" w:cs="Times New Roman"/>
          <w:spacing w:val="0"/>
          <w:sz w:val="24"/>
          <w:szCs w:val="24"/>
          <w:lang w:val="en-US" w:eastAsia="zh-CN"/>
        </w:rPr>
        <w:t>、</w:t>
      </w:r>
      <w:r>
        <w:rPr>
          <w:rFonts w:hint="default" w:ascii="Times New Roman" w:hAnsi="Times New Roman" w:eastAsia="宋体" w:cs="Times New Roman"/>
          <w:color w:val="FF0000"/>
          <w:spacing w:val="0"/>
          <w:sz w:val="24"/>
          <w:szCs w:val="24"/>
          <w:lang w:val="en-US" w:eastAsia="zh-CN"/>
        </w:rPr>
        <w:t>同一规格的钢筋供应采用同一炉批号或同一炉批号的供应量为59～60吨的几何倍数。</w:t>
      </w:r>
      <w:r>
        <w:rPr>
          <w:rFonts w:hint="eastAsia" w:cs="Times New Roman"/>
          <w:color w:val="0000FF"/>
          <w:spacing w:val="0"/>
          <w:sz w:val="24"/>
          <w:szCs w:val="24"/>
          <w:lang w:val="en-US" w:eastAsia="zh-CN"/>
        </w:rPr>
        <w:t>每批订货通知单</w:t>
      </w:r>
      <w:r>
        <w:rPr>
          <w:rFonts w:hint="default" w:ascii="Times New Roman" w:hAnsi="Times New Roman" w:eastAsia="宋体" w:cs="Times New Roman"/>
          <w:color w:val="FF0000"/>
          <w:spacing w:val="0"/>
          <w:sz w:val="24"/>
          <w:szCs w:val="24"/>
          <w:lang w:val="en-US" w:eastAsia="zh-CN"/>
        </w:rPr>
        <w:t>同一规格钢筋超过120吨时，出现2次以上(含2次)同一炉批号供应量小于60吨的，第3次开始每次承担1000元违约金，上不封顶。</w:t>
      </w:r>
    </w:p>
    <w:p>
      <w:pPr>
        <w:keepNext w:val="0"/>
        <w:keepLines w:val="0"/>
        <w:pageBreakBefore w:val="0"/>
        <w:widowControl/>
        <w:kinsoku/>
        <w:wordWrap/>
        <w:overflowPunct/>
        <w:topLinePunct w:val="0"/>
        <w:autoSpaceDE/>
        <w:autoSpaceDN/>
        <w:bidi w:val="0"/>
        <w:adjustRightInd/>
        <w:snapToGrid/>
        <w:spacing w:line="324" w:lineRule="auto"/>
        <w:ind w:right="98" w:firstLine="479"/>
        <w:textAlignment w:val="auto"/>
        <w:rPr>
          <w:rFonts w:hint="default" w:ascii="Times New Roman" w:hAnsi="Times New Roman" w:eastAsia="宋体" w:cs="Times New Roman"/>
          <w:spacing w:val="0"/>
          <w:sz w:val="24"/>
          <w:szCs w:val="24"/>
          <w:lang w:val="en-US" w:eastAsia="zh-CN"/>
        </w:rPr>
      </w:pPr>
      <w:r>
        <w:rPr>
          <w:rFonts w:hint="eastAsia" w:ascii="Times New Roman" w:hAnsi="Times New Roman" w:eastAsia="宋体" w:cs="Times New Roman"/>
          <w:spacing w:val="0"/>
          <w:sz w:val="24"/>
          <w:szCs w:val="24"/>
          <w:lang w:val="en-US" w:eastAsia="zh-CN"/>
        </w:rPr>
        <w:t>8</w:t>
      </w:r>
      <w:r>
        <w:rPr>
          <w:rFonts w:hint="default" w:ascii="Times New Roman" w:hAnsi="Times New Roman" w:eastAsia="宋体" w:cs="Times New Roman"/>
          <w:spacing w:val="0"/>
          <w:sz w:val="24"/>
          <w:szCs w:val="24"/>
          <w:lang w:val="en-US" w:eastAsia="zh-CN"/>
        </w:rPr>
        <w:t>、中标人需派专人为我公司提供及时服务，包括但不限于供货计划的接收、供货的协调、收货签单的核对、与公司办理结算等。提供服务人员须在约定时间内能赶到。人员费用包含在投标报价中。</w:t>
      </w:r>
    </w:p>
    <w:p>
      <w:pPr>
        <w:keepNext w:val="0"/>
        <w:keepLines w:val="0"/>
        <w:pageBreakBefore w:val="0"/>
        <w:widowControl/>
        <w:kinsoku/>
        <w:wordWrap/>
        <w:overflowPunct/>
        <w:topLinePunct w:val="0"/>
        <w:autoSpaceDE/>
        <w:autoSpaceDN/>
        <w:bidi w:val="0"/>
        <w:adjustRightInd/>
        <w:snapToGrid/>
        <w:spacing w:after="0" w:line="324" w:lineRule="auto"/>
        <w:ind w:left="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六、结算和付款方式</w:t>
      </w:r>
    </w:p>
    <w:p>
      <w:pPr>
        <w:keepNext w:val="0"/>
        <w:keepLines w:val="0"/>
        <w:pageBreakBefore w:val="0"/>
        <w:widowControl/>
        <w:kinsoku/>
        <w:wordWrap/>
        <w:overflowPunct/>
        <w:topLinePunct w:val="0"/>
        <w:autoSpaceDE/>
        <w:autoSpaceDN/>
        <w:bidi w:val="0"/>
        <w:adjustRightInd/>
        <w:snapToGrid/>
        <w:spacing w:line="324" w:lineRule="auto"/>
        <w:ind w:right="98"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1</w:t>
      </w:r>
      <w:r>
        <w:rPr>
          <w:rFonts w:hint="eastAsia" w:ascii="Times New Roman" w:hAnsi="Times New Roman" w:eastAsia="宋体" w:cs="Times New Roman"/>
          <w:spacing w:val="0"/>
          <w:sz w:val="24"/>
          <w:szCs w:val="24"/>
          <w:lang w:val="en-US" w:eastAsia="zh-CN"/>
        </w:rPr>
        <w:t>、</w:t>
      </w:r>
      <w:r>
        <w:rPr>
          <w:rFonts w:hint="default" w:ascii="Times New Roman" w:hAnsi="Times New Roman" w:eastAsia="宋体" w:cs="Times New Roman"/>
          <w:spacing w:val="0"/>
          <w:sz w:val="24"/>
          <w:szCs w:val="24"/>
          <w:lang w:val="en-US" w:eastAsia="zh-CN"/>
        </w:rPr>
        <w:t>结算依据</w:t>
      </w:r>
    </w:p>
    <w:p>
      <w:pPr>
        <w:keepNext w:val="0"/>
        <w:keepLines w:val="0"/>
        <w:pageBreakBefore w:val="0"/>
        <w:widowControl/>
        <w:kinsoku/>
        <w:wordWrap/>
        <w:overflowPunct/>
        <w:topLinePunct w:val="0"/>
        <w:autoSpaceDE/>
        <w:autoSpaceDN/>
        <w:bidi w:val="0"/>
        <w:adjustRightInd/>
        <w:snapToGrid/>
        <w:spacing w:line="324" w:lineRule="auto"/>
        <w:ind w:right="98"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供方将材料送至所需地后，需方进行材料检测送检，检测合格方可进行结算，招标人指派专人在送货单上签字，非有效授权人签署的签收单一律无效。以检测合格的钢材数量和相应结算单价作为结算依据。</w:t>
      </w:r>
    </w:p>
    <w:p>
      <w:pPr>
        <w:keepNext w:val="0"/>
        <w:keepLines w:val="0"/>
        <w:pageBreakBefore w:val="0"/>
        <w:widowControl/>
        <w:kinsoku/>
        <w:wordWrap/>
        <w:overflowPunct/>
        <w:topLinePunct w:val="0"/>
        <w:autoSpaceDE/>
        <w:autoSpaceDN/>
        <w:bidi w:val="0"/>
        <w:adjustRightInd/>
        <w:snapToGrid/>
        <w:spacing w:line="324" w:lineRule="auto"/>
        <w:ind w:right="98"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2</w:t>
      </w:r>
      <w:r>
        <w:rPr>
          <w:rFonts w:hint="eastAsia" w:ascii="Times New Roman" w:hAnsi="Times New Roman" w:eastAsia="宋体" w:cs="Times New Roman"/>
          <w:spacing w:val="0"/>
          <w:sz w:val="24"/>
          <w:szCs w:val="24"/>
          <w:lang w:val="en-US" w:eastAsia="zh-CN"/>
        </w:rPr>
        <w:t>、</w:t>
      </w:r>
      <w:r>
        <w:rPr>
          <w:rFonts w:hint="default" w:ascii="Times New Roman" w:hAnsi="Times New Roman" w:eastAsia="宋体" w:cs="Times New Roman"/>
          <w:spacing w:val="0"/>
          <w:sz w:val="24"/>
          <w:szCs w:val="24"/>
          <w:lang w:val="en-US" w:eastAsia="zh-CN"/>
        </w:rPr>
        <w:t>结算方式</w:t>
      </w:r>
    </w:p>
    <w:p>
      <w:pPr>
        <w:keepNext w:val="0"/>
        <w:keepLines w:val="0"/>
        <w:pageBreakBefore w:val="0"/>
        <w:widowControl/>
        <w:kinsoku/>
        <w:wordWrap/>
        <w:overflowPunct/>
        <w:topLinePunct w:val="0"/>
        <w:autoSpaceDE/>
        <w:autoSpaceDN/>
        <w:bidi w:val="0"/>
        <w:adjustRightInd/>
        <w:snapToGrid/>
        <w:spacing w:line="324" w:lineRule="auto"/>
        <w:ind w:right="98"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按月结算，供货方应与招标人核对所供钢材数量及货款，招标人凭供货方全额开具的税率13%的增值税专用发票及经双方核对一致的签收单进行结算，逾期未提交核对的签收单视同未发生。合同供货完成后进行最终结算，该最终结算除双方签字并加盖公章外，必须报招标人所属公司相关人员审核后方为有效。</w:t>
      </w:r>
    </w:p>
    <w:p>
      <w:pPr>
        <w:keepNext w:val="0"/>
        <w:keepLines w:val="0"/>
        <w:pageBreakBefore w:val="0"/>
        <w:widowControl/>
        <w:numPr>
          <w:ilvl w:val="0"/>
          <w:numId w:val="0"/>
        </w:numPr>
        <w:kinsoku/>
        <w:wordWrap/>
        <w:overflowPunct/>
        <w:topLinePunct w:val="0"/>
        <w:autoSpaceDE/>
        <w:autoSpaceDN/>
        <w:bidi w:val="0"/>
        <w:adjustRightInd/>
        <w:snapToGrid/>
        <w:spacing w:line="324" w:lineRule="auto"/>
        <w:ind w:right="2" w:rightChars="0" w:firstLine="480" w:firstLineChars="200"/>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bidi="ar-SA"/>
        </w:rPr>
        <w:t>3、</w:t>
      </w:r>
      <w:r>
        <w:rPr>
          <w:rFonts w:hint="default" w:ascii="Times New Roman" w:hAnsi="Times New Roman" w:eastAsia="宋体" w:cs="Times New Roman"/>
          <w:spacing w:val="0"/>
          <w:sz w:val="24"/>
          <w:szCs w:val="24"/>
          <w:lang w:val="en-US" w:eastAsia="zh-CN"/>
        </w:rPr>
        <w:t>付款方式</w:t>
      </w:r>
      <w:bookmarkStart w:id="0" w:name="_GoBack"/>
      <w:bookmarkEnd w:id="0"/>
    </w:p>
    <w:p>
      <w:pPr>
        <w:keepNext w:val="0"/>
        <w:keepLines w:val="0"/>
        <w:pageBreakBefore w:val="0"/>
        <w:widowControl/>
        <w:numPr>
          <w:ilvl w:val="0"/>
          <w:numId w:val="0"/>
        </w:numPr>
        <w:kinsoku/>
        <w:wordWrap/>
        <w:overflowPunct/>
        <w:topLinePunct w:val="0"/>
        <w:autoSpaceDE/>
        <w:autoSpaceDN/>
        <w:bidi w:val="0"/>
        <w:adjustRightInd/>
        <w:snapToGrid/>
        <w:spacing w:line="324" w:lineRule="auto"/>
        <w:ind w:right="2" w:righ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0"/>
          <w:sz w:val="24"/>
          <w:szCs w:val="24"/>
          <w:lang w:val="en-US" w:eastAsia="zh-CN"/>
        </w:rPr>
        <w:t>本次采购无预付款。在双方办理结算手续后，招标人在收到供货方提供已结算货款等额的税率为13%的增值税专用发票、质量证明书(</w:t>
      </w:r>
      <w:r>
        <w:rPr>
          <w:rFonts w:hint="default" w:ascii="Times New Roman" w:hAnsi="Times New Roman" w:eastAsia="宋体" w:cs="Times New Roman"/>
          <w:color w:val="FF0000"/>
          <w:spacing w:val="0"/>
          <w:sz w:val="24"/>
          <w:szCs w:val="24"/>
          <w:lang w:val="en-US" w:eastAsia="zh-CN"/>
        </w:rPr>
        <w:t>需加盖供货方公章</w:t>
      </w:r>
      <w:r>
        <w:rPr>
          <w:rFonts w:hint="default" w:ascii="Times New Roman" w:hAnsi="Times New Roman" w:eastAsia="宋体" w:cs="Times New Roman"/>
          <w:spacing w:val="0"/>
          <w:sz w:val="24"/>
          <w:szCs w:val="24"/>
          <w:lang w:val="en-US" w:eastAsia="zh-CN"/>
        </w:rPr>
        <w:t>)、质量终身制承诺书后(</w:t>
      </w:r>
      <w:r>
        <w:rPr>
          <w:rFonts w:hint="default" w:ascii="Times New Roman" w:hAnsi="Times New Roman" w:eastAsia="宋体" w:cs="Times New Roman"/>
          <w:color w:val="FF0000"/>
          <w:spacing w:val="0"/>
          <w:sz w:val="24"/>
          <w:szCs w:val="24"/>
          <w:lang w:val="en-US" w:eastAsia="zh-CN"/>
        </w:rPr>
        <w:t>需加盖供货方公章</w:t>
      </w:r>
      <w:r>
        <w:rPr>
          <w:rFonts w:hint="default" w:ascii="Times New Roman" w:hAnsi="Times New Roman" w:eastAsia="宋体" w:cs="Times New Roman"/>
          <w:spacing w:val="0"/>
          <w:sz w:val="24"/>
          <w:szCs w:val="24"/>
          <w:lang w:val="en-US" w:eastAsia="zh-CN"/>
        </w:rPr>
        <w:t>)等资料后7个工作日内办理汇款手续并将钢筋已结算货款汇入供方合同确定的账户内。支付款项前，供货方须按付款额开具并加盖财务专用章的收款收据。</w:t>
      </w:r>
    </w:p>
    <w:p>
      <w:pPr>
        <w:keepNext w:val="0"/>
        <w:keepLines w:val="0"/>
        <w:pageBreakBefore w:val="0"/>
        <w:widowControl/>
        <w:kinsoku/>
        <w:wordWrap/>
        <w:overflowPunct/>
        <w:topLinePunct w:val="0"/>
        <w:autoSpaceDE/>
        <w:autoSpaceDN/>
        <w:bidi w:val="0"/>
        <w:adjustRightInd/>
        <w:snapToGrid/>
        <w:spacing w:line="324" w:lineRule="auto"/>
        <w:ind w:right="98" w:firstLine="479"/>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七、招标文件的澄清</w:t>
      </w:r>
    </w:p>
    <w:p>
      <w:pPr>
        <w:keepNext w:val="0"/>
        <w:keepLines w:val="0"/>
        <w:pageBreakBefore w:val="0"/>
        <w:widowControl/>
        <w:kinsoku/>
        <w:wordWrap/>
        <w:overflowPunct/>
        <w:topLinePunct w:val="0"/>
        <w:autoSpaceDE/>
        <w:autoSpaceDN/>
        <w:bidi w:val="0"/>
        <w:adjustRightInd/>
        <w:snapToGrid/>
        <w:spacing w:line="324" w:lineRule="auto"/>
        <w:ind w:firstLine="459"/>
        <w:jc w:val="both"/>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对招标文件的任何疑问均可向招标单位联系人电话方式澄清。招标人单方自行澄清的，将以书面形式发出，并构成招标文件的一部分。投标人上传投标文件前关注本公司集中采购平台相关的书面澄清公告。</w:t>
      </w:r>
    </w:p>
    <w:p>
      <w:pPr>
        <w:keepNext w:val="0"/>
        <w:keepLines w:val="0"/>
        <w:pageBreakBefore w:val="0"/>
        <w:widowControl/>
        <w:kinsoku/>
        <w:wordWrap/>
        <w:overflowPunct/>
        <w:topLinePunct w:val="0"/>
        <w:autoSpaceDE/>
        <w:autoSpaceDN/>
        <w:bidi w:val="0"/>
        <w:adjustRightInd/>
        <w:snapToGrid/>
        <w:spacing w:after="0" w:line="324" w:lineRule="auto"/>
        <w:ind w:left="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八、投标文件的编制</w:t>
      </w:r>
    </w:p>
    <w:p>
      <w:pPr>
        <w:keepNext w:val="0"/>
        <w:keepLines w:val="0"/>
        <w:pageBreakBefore w:val="0"/>
        <w:widowControl/>
        <w:kinsoku/>
        <w:wordWrap/>
        <w:overflowPunct/>
        <w:topLinePunct w:val="0"/>
        <w:autoSpaceDE/>
        <w:autoSpaceDN/>
        <w:bidi w:val="0"/>
        <w:adjustRightInd/>
        <w:snapToGrid/>
        <w:spacing w:line="324" w:lineRule="auto"/>
        <w:ind w:right="0"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1、投标文件使用的质量、技术等规范应符合国家有关标准。</w:t>
      </w:r>
    </w:p>
    <w:p>
      <w:pPr>
        <w:keepNext w:val="0"/>
        <w:keepLines w:val="0"/>
        <w:pageBreakBefore w:val="0"/>
        <w:widowControl/>
        <w:kinsoku/>
        <w:wordWrap/>
        <w:overflowPunct/>
        <w:topLinePunct w:val="0"/>
        <w:autoSpaceDE/>
        <w:autoSpaceDN/>
        <w:bidi w:val="0"/>
        <w:adjustRightInd/>
        <w:snapToGrid/>
        <w:spacing w:line="324" w:lineRule="auto"/>
        <w:ind w:right="0"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2、除工程规范另有规定外，投标文件使用的度量单位，均采用法定计量单位。</w:t>
      </w:r>
    </w:p>
    <w:p>
      <w:pPr>
        <w:keepNext w:val="0"/>
        <w:keepLines w:val="0"/>
        <w:pageBreakBefore w:val="0"/>
        <w:widowControl/>
        <w:kinsoku/>
        <w:wordWrap/>
        <w:overflowPunct/>
        <w:topLinePunct w:val="0"/>
        <w:autoSpaceDE/>
        <w:autoSpaceDN/>
        <w:bidi w:val="0"/>
        <w:adjustRightInd/>
        <w:snapToGrid/>
        <w:spacing w:after="0" w:line="324" w:lineRule="auto"/>
        <w:ind w:left="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九、投标文件组成</w:t>
      </w:r>
    </w:p>
    <w:p>
      <w:pPr>
        <w:keepNext w:val="0"/>
        <w:keepLines w:val="0"/>
        <w:pageBreakBefore w:val="0"/>
        <w:widowControl/>
        <w:kinsoku/>
        <w:wordWrap/>
        <w:overflowPunct/>
        <w:topLinePunct w:val="0"/>
        <w:autoSpaceDE/>
        <w:autoSpaceDN/>
        <w:bidi w:val="0"/>
        <w:adjustRightInd/>
        <w:snapToGrid/>
        <w:spacing w:line="324" w:lineRule="auto"/>
        <w:ind w:right="0"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1、投标文件封面(附件1)</w:t>
      </w:r>
    </w:p>
    <w:p>
      <w:pPr>
        <w:keepNext w:val="0"/>
        <w:keepLines w:val="0"/>
        <w:pageBreakBefore w:val="0"/>
        <w:widowControl/>
        <w:kinsoku/>
        <w:wordWrap/>
        <w:overflowPunct/>
        <w:topLinePunct w:val="0"/>
        <w:autoSpaceDE/>
        <w:autoSpaceDN/>
        <w:bidi w:val="0"/>
        <w:adjustRightInd/>
        <w:snapToGrid/>
        <w:spacing w:line="324" w:lineRule="auto"/>
        <w:ind w:right="0"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2、投标函(附件2)</w:t>
      </w:r>
    </w:p>
    <w:p>
      <w:pPr>
        <w:keepNext w:val="0"/>
        <w:keepLines w:val="0"/>
        <w:pageBreakBefore w:val="0"/>
        <w:widowControl/>
        <w:kinsoku/>
        <w:wordWrap/>
        <w:overflowPunct/>
        <w:topLinePunct w:val="0"/>
        <w:autoSpaceDE/>
        <w:autoSpaceDN/>
        <w:bidi w:val="0"/>
        <w:adjustRightInd/>
        <w:snapToGrid/>
        <w:spacing w:line="324" w:lineRule="auto"/>
        <w:ind w:right="0"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3、投标报价表(见附件3)</w:t>
      </w:r>
    </w:p>
    <w:p>
      <w:pPr>
        <w:keepNext w:val="0"/>
        <w:keepLines w:val="0"/>
        <w:pageBreakBefore w:val="0"/>
        <w:widowControl/>
        <w:kinsoku/>
        <w:wordWrap/>
        <w:overflowPunct/>
        <w:topLinePunct w:val="0"/>
        <w:autoSpaceDE/>
        <w:autoSpaceDN/>
        <w:bidi w:val="0"/>
        <w:adjustRightInd/>
        <w:snapToGrid/>
        <w:spacing w:line="324" w:lineRule="auto"/>
        <w:ind w:right="0"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4、投标单位法定代表人身份证明书(见附件4)</w:t>
      </w:r>
    </w:p>
    <w:p>
      <w:pPr>
        <w:keepNext w:val="0"/>
        <w:keepLines w:val="0"/>
        <w:pageBreakBefore w:val="0"/>
        <w:widowControl/>
        <w:kinsoku/>
        <w:wordWrap/>
        <w:overflowPunct/>
        <w:topLinePunct w:val="0"/>
        <w:autoSpaceDE/>
        <w:autoSpaceDN/>
        <w:bidi w:val="0"/>
        <w:adjustRightInd/>
        <w:snapToGrid/>
        <w:spacing w:line="324" w:lineRule="auto"/>
        <w:ind w:right="0"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5、授权委托书(见附件5)</w:t>
      </w:r>
    </w:p>
    <w:p>
      <w:pPr>
        <w:keepNext w:val="0"/>
        <w:keepLines w:val="0"/>
        <w:pageBreakBefore w:val="0"/>
        <w:widowControl/>
        <w:kinsoku/>
        <w:wordWrap/>
        <w:overflowPunct/>
        <w:topLinePunct w:val="0"/>
        <w:autoSpaceDE/>
        <w:autoSpaceDN/>
        <w:bidi w:val="0"/>
        <w:adjustRightInd/>
        <w:snapToGrid/>
        <w:spacing w:line="324" w:lineRule="auto"/>
        <w:ind w:right="0"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6、投标单位资信证明资料(见附件6)</w:t>
      </w:r>
    </w:p>
    <w:p>
      <w:pPr>
        <w:keepNext w:val="0"/>
        <w:keepLines w:val="0"/>
        <w:pageBreakBefore w:val="0"/>
        <w:widowControl/>
        <w:kinsoku/>
        <w:wordWrap/>
        <w:overflowPunct/>
        <w:topLinePunct w:val="0"/>
        <w:autoSpaceDE/>
        <w:autoSpaceDN/>
        <w:bidi w:val="0"/>
        <w:adjustRightInd/>
        <w:snapToGrid/>
        <w:spacing w:line="324" w:lineRule="auto"/>
        <w:ind w:right="0"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7、生产厂家营业执照复印件及资质证明文件(见附件7)</w:t>
      </w:r>
    </w:p>
    <w:p>
      <w:pPr>
        <w:keepNext w:val="0"/>
        <w:keepLines w:val="0"/>
        <w:pageBreakBefore w:val="0"/>
        <w:widowControl/>
        <w:kinsoku/>
        <w:wordWrap/>
        <w:overflowPunct/>
        <w:topLinePunct w:val="0"/>
        <w:autoSpaceDE/>
        <w:autoSpaceDN/>
        <w:bidi w:val="0"/>
        <w:adjustRightInd/>
        <w:snapToGrid/>
        <w:spacing w:line="324" w:lineRule="auto"/>
        <w:ind w:right="0"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8、投标保证金(汇款凭证)(见附件8,可直接发给朱丽)</w:t>
      </w:r>
    </w:p>
    <w:p>
      <w:pPr>
        <w:keepNext w:val="0"/>
        <w:keepLines w:val="0"/>
        <w:pageBreakBefore w:val="0"/>
        <w:widowControl/>
        <w:kinsoku/>
        <w:wordWrap/>
        <w:overflowPunct/>
        <w:topLinePunct w:val="0"/>
        <w:autoSpaceDE/>
        <w:autoSpaceDN/>
        <w:bidi w:val="0"/>
        <w:adjustRightInd/>
        <w:snapToGrid/>
        <w:spacing w:after="0" w:line="324" w:lineRule="auto"/>
        <w:ind w:left="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十、评标方式、标准及方法</w:t>
      </w:r>
    </w:p>
    <w:p>
      <w:pPr>
        <w:keepNext w:val="0"/>
        <w:keepLines w:val="0"/>
        <w:pageBreakBefore w:val="0"/>
        <w:widowControl/>
        <w:kinsoku/>
        <w:wordWrap/>
        <w:overflowPunct/>
        <w:topLinePunct w:val="0"/>
        <w:autoSpaceDE/>
        <w:autoSpaceDN/>
        <w:bidi w:val="0"/>
        <w:adjustRightInd/>
        <w:snapToGrid/>
        <w:spacing w:line="324" w:lineRule="auto"/>
        <w:ind w:right="98"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本次招标评标标准在同等条件下</w:t>
      </w:r>
      <w:r>
        <w:rPr>
          <w:szCs w:val="21"/>
          <w:lang w:eastAsia="zh-Hans"/>
        </w:rPr>
        <w:t>以单位价格低者中标</w:t>
      </w:r>
      <w:r>
        <w:rPr>
          <w:rFonts w:hint="default" w:ascii="Times New Roman" w:hAnsi="Times New Roman" w:eastAsia="宋体" w:cs="Times New Roman"/>
          <w:spacing w:val="0"/>
          <w:sz w:val="24"/>
          <w:szCs w:val="24"/>
          <w:lang w:val="en-US" w:eastAsia="zh-CN"/>
        </w:rPr>
        <w:t>。</w:t>
      </w:r>
    </w:p>
    <w:p>
      <w:pPr>
        <w:keepNext w:val="0"/>
        <w:keepLines w:val="0"/>
        <w:pageBreakBefore w:val="0"/>
        <w:kinsoku/>
        <w:wordWrap/>
        <w:overflowPunct/>
        <w:topLinePunct w:val="0"/>
        <w:autoSpaceDE/>
        <w:autoSpaceDN/>
        <w:bidi w:val="0"/>
        <w:adjustRightInd/>
        <w:snapToGrid/>
        <w:spacing w:line="324" w:lineRule="auto"/>
        <w:ind w:firstLine="482"/>
        <w:textAlignment w:val="auto"/>
        <w:rPr>
          <w:b/>
          <w:szCs w:val="24"/>
        </w:rPr>
      </w:pPr>
      <w:r>
        <w:rPr>
          <w:b/>
          <w:szCs w:val="24"/>
        </w:rPr>
        <w:t>十一、</w:t>
      </w:r>
      <w:r>
        <w:rPr>
          <w:b/>
          <w:color w:val="FF0000"/>
          <w:szCs w:val="24"/>
        </w:rPr>
        <w:t>有下列情况之一，视为无效标：</w:t>
      </w:r>
    </w:p>
    <w:p>
      <w:pPr>
        <w:keepNext w:val="0"/>
        <w:keepLines w:val="0"/>
        <w:pageBreakBefore w:val="0"/>
        <w:widowControl w:val="0"/>
        <w:kinsoku/>
        <w:wordWrap/>
        <w:overflowPunct/>
        <w:topLinePunct w:val="0"/>
        <w:autoSpaceDE/>
        <w:autoSpaceDN/>
        <w:bidi w:val="0"/>
        <w:adjustRightInd/>
        <w:snapToGrid/>
        <w:spacing w:line="324" w:lineRule="auto"/>
        <w:ind w:firstLine="480"/>
        <w:textAlignment w:val="auto"/>
        <w:rPr>
          <w:szCs w:val="21"/>
          <w:lang w:eastAsia="zh-Hans"/>
        </w:rPr>
      </w:pPr>
      <w:r>
        <w:rPr>
          <w:szCs w:val="21"/>
          <w:lang w:eastAsia="zh-Hans"/>
        </w:rPr>
        <w:t>（1）投标书未加盖投标人单位公章的；</w:t>
      </w:r>
    </w:p>
    <w:p>
      <w:pPr>
        <w:keepNext w:val="0"/>
        <w:keepLines w:val="0"/>
        <w:pageBreakBefore w:val="0"/>
        <w:widowControl w:val="0"/>
        <w:kinsoku/>
        <w:wordWrap/>
        <w:overflowPunct/>
        <w:topLinePunct w:val="0"/>
        <w:autoSpaceDE/>
        <w:autoSpaceDN/>
        <w:bidi w:val="0"/>
        <w:adjustRightInd/>
        <w:snapToGrid/>
        <w:spacing w:line="324" w:lineRule="auto"/>
        <w:ind w:firstLine="480"/>
        <w:textAlignment w:val="auto"/>
        <w:rPr>
          <w:szCs w:val="21"/>
          <w:lang w:eastAsia="zh-Hans"/>
        </w:rPr>
      </w:pPr>
      <w:r>
        <w:rPr>
          <w:szCs w:val="21"/>
          <w:lang w:eastAsia="zh-Hans"/>
        </w:rPr>
        <w:t>（2）投标人的授权委托人不能提供有效的授权委托书的；</w:t>
      </w:r>
    </w:p>
    <w:p>
      <w:pPr>
        <w:keepNext w:val="0"/>
        <w:keepLines w:val="0"/>
        <w:pageBreakBefore w:val="0"/>
        <w:widowControl w:val="0"/>
        <w:kinsoku/>
        <w:wordWrap/>
        <w:overflowPunct/>
        <w:topLinePunct w:val="0"/>
        <w:autoSpaceDE/>
        <w:autoSpaceDN/>
        <w:bidi w:val="0"/>
        <w:adjustRightInd/>
        <w:snapToGrid/>
        <w:spacing w:line="324" w:lineRule="auto"/>
        <w:ind w:firstLine="480"/>
        <w:textAlignment w:val="auto"/>
        <w:rPr>
          <w:szCs w:val="21"/>
          <w:lang w:eastAsia="zh-Hans"/>
        </w:rPr>
      </w:pPr>
      <w:r>
        <w:rPr>
          <w:szCs w:val="21"/>
          <w:lang w:eastAsia="zh-Hans"/>
        </w:rPr>
        <w:t>（3）逾期上传投标书的；</w:t>
      </w:r>
    </w:p>
    <w:p>
      <w:pPr>
        <w:keepNext w:val="0"/>
        <w:keepLines w:val="0"/>
        <w:pageBreakBefore w:val="0"/>
        <w:widowControl w:val="0"/>
        <w:kinsoku/>
        <w:wordWrap/>
        <w:overflowPunct/>
        <w:topLinePunct w:val="0"/>
        <w:autoSpaceDE/>
        <w:autoSpaceDN/>
        <w:bidi w:val="0"/>
        <w:adjustRightInd/>
        <w:snapToGrid/>
        <w:spacing w:line="324" w:lineRule="auto"/>
        <w:ind w:firstLine="480"/>
        <w:textAlignment w:val="auto"/>
        <w:rPr>
          <w:szCs w:val="21"/>
          <w:lang w:eastAsia="zh-Hans"/>
        </w:rPr>
      </w:pPr>
      <w:r>
        <w:rPr>
          <w:szCs w:val="21"/>
          <w:lang w:eastAsia="zh-Hans"/>
        </w:rPr>
        <w:t>（4）招标人认为投标报价严重偏离市场行情的；</w:t>
      </w:r>
    </w:p>
    <w:p>
      <w:pPr>
        <w:keepNext w:val="0"/>
        <w:keepLines w:val="0"/>
        <w:pageBreakBefore w:val="0"/>
        <w:widowControl w:val="0"/>
        <w:kinsoku/>
        <w:wordWrap/>
        <w:overflowPunct/>
        <w:topLinePunct w:val="0"/>
        <w:autoSpaceDE/>
        <w:autoSpaceDN/>
        <w:bidi w:val="0"/>
        <w:adjustRightInd/>
        <w:snapToGrid/>
        <w:spacing w:line="324" w:lineRule="auto"/>
        <w:ind w:firstLine="480"/>
        <w:textAlignment w:val="auto"/>
        <w:rPr>
          <w:szCs w:val="21"/>
          <w:lang w:eastAsia="zh-Hans"/>
        </w:rPr>
      </w:pPr>
      <w:r>
        <w:rPr>
          <w:szCs w:val="21"/>
          <w:lang w:eastAsia="zh-Hans"/>
        </w:rPr>
        <w:t>（5）</w:t>
      </w:r>
      <w:r>
        <w:rPr>
          <w:rFonts w:hint="eastAsia"/>
          <w:b/>
          <w:bCs/>
          <w:color w:val="FF0000"/>
          <w:szCs w:val="21"/>
          <w:lang w:eastAsia="zh-Hans"/>
        </w:rPr>
        <w:t>报价未按要求填报或擅自更改投标文件格式内容的</w:t>
      </w:r>
      <w:r>
        <w:rPr>
          <w:szCs w:val="21"/>
          <w:lang w:eastAsia="zh-Hans"/>
        </w:rPr>
        <w:t>。</w:t>
      </w:r>
    </w:p>
    <w:p>
      <w:pPr>
        <w:keepNext w:val="0"/>
        <w:keepLines w:val="0"/>
        <w:pageBreakBefore w:val="0"/>
        <w:widowControl/>
        <w:kinsoku/>
        <w:wordWrap/>
        <w:overflowPunct/>
        <w:topLinePunct w:val="0"/>
        <w:autoSpaceDE/>
        <w:autoSpaceDN/>
        <w:bidi w:val="0"/>
        <w:adjustRightInd/>
        <w:snapToGrid/>
        <w:spacing w:after="0" w:line="324" w:lineRule="auto"/>
        <w:ind w:left="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十二、特别提示</w:t>
      </w:r>
    </w:p>
    <w:p>
      <w:pPr>
        <w:keepNext w:val="0"/>
        <w:keepLines w:val="0"/>
        <w:pageBreakBefore w:val="0"/>
        <w:widowControl/>
        <w:kinsoku/>
        <w:wordWrap/>
        <w:overflowPunct/>
        <w:topLinePunct w:val="0"/>
        <w:autoSpaceDE/>
        <w:autoSpaceDN/>
        <w:bidi w:val="0"/>
        <w:adjustRightInd/>
        <w:snapToGrid/>
        <w:spacing w:line="324" w:lineRule="auto"/>
        <w:ind w:right="98"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1、本次招标拟选择一家供货单位为中标候选人。</w:t>
      </w:r>
    </w:p>
    <w:p>
      <w:pPr>
        <w:keepNext w:val="0"/>
        <w:keepLines w:val="0"/>
        <w:pageBreakBefore w:val="0"/>
        <w:widowControl/>
        <w:kinsoku/>
        <w:wordWrap/>
        <w:overflowPunct/>
        <w:topLinePunct w:val="0"/>
        <w:autoSpaceDE/>
        <w:autoSpaceDN/>
        <w:bidi w:val="0"/>
        <w:adjustRightInd/>
        <w:snapToGrid/>
        <w:spacing w:line="324" w:lineRule="auto"/>
        <w:ind w:right="0" w:firstLine="479"/>
        <w:textAlignment w:val="auto"/>
        <w:rPr>
          <w:rFonts w:hint="default" w:ascii="Times New Roman" w:hAnsi="Times New Roman" w:eastAsia="宋体" w:cs="Times New Roman"/>
          <w:color w:val="FF0000"/>
          <w:spacing w:val="0"/>
          <w:sz w:val="24"/>
          <w:szCs w:val="24"/>
          <w:lang w:val="en-US" w:eastAsia="zh-CN"/>
        </w:rPr>
      </w:pPr>
      <w:r>
        <w:rPr>
          <w:rFonts w:hint="default" w:ascii="Times New Roman" w:hAnsi="Times New Roman" w:eastAsia="宋体" w:cs="Times New Roman"/>
          <w:spacing w:val="0"/>
          <w:sz w:val="24"/>
          <w:szCs w:val="24"/>
          <w:lang w:val="en-US" w:eastAsia="zh-CN"/>
        </w:rPr>
        <w:t>2、</w:t>
      </w:r>
      <w:r>
        <w:rPr>
          <w:rFonts w:hint="default" w:ascii="Times New Roman" w:hAnsi="Times New Roman" w:eastAsia="宋体" w:cs="Times New Roman"/>
          <w:color w:val="FF0000"/>
          <w:spacing w:val="0"/>
          <w:sz w:val="24"/>
          <w:szCs w:val="24"/>
          <w:lang w:val="en-US" w:eastAsia="zh-CN"/>
        </w:rPr>
        <w:t>若2家以上有关联关系(包括：总分公司、母子公司、同一实际控制人的公司、亲属关系的公司或其他可能影响公平公正评标的关系)的投标单位同时投标，则仅以关联关系单位中投标报价最低的为有效标，其他关联关系单位的投标作废标处理。</w:t>
      </w:r>
    </w:p>
    <w:p>
      <w:pPr>
        <w:keepNext w:val="0"/>
        <w:keepLines w:val="0"/>
        <w:pageBreakBefore w:val="0"/>
        <w:widowControl/>
        <w:kinsoku/>
        <w:wordWrap/>
        <w:overflowPunct/>
        <w:topLinePunct w:val="0"/>
        <w:autoSpaceDE/>
        <w:autoSpaceDN/>
        <w:bidi w:val="0"/>
        <w:adjustRightInd/>
        <w:snapToGrid/>
        <w:spacing w:line="324" w:lineRule="auto"/>
        <w:ind w:right="0"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3、开标后未获得中标通知者，视为未中标，招标单位和未中标单位均不需向对方承担任何民事责任。</w:t>
      </w:r>
    </w:p>
    <w:p>
      <w:pPr>
        <w:keepNext w:val="0"/>
        <w:keepLines w:val="0"/>
        <w:pageBreakBefore w:val="0"/>
        <w:widowControl/>
        <w:kinsoku/>
        <w:wordWrap/>
        <w:overflowPunct/>
        <w:topLinePunct w:val="0"/>
        <w:autoSpaceDE/>
        <w:autoSpaceDN/>
        <w:bidi w:val="0"/>
        <w:adjustRightInd/>
        <w:snapToGrid/>
        <w:spacing w:line="324" w:lineRule="auto"/>
        <w:ind w:right="0"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4、中标单位在接到中标通知后3个工作日内，提供履约保证金后(履约保证金不低于中标价的5%)到江苏省水利建设有限公司签订合同，逾期不签订合同将作为自动放弃处理，并没收其投标保证金。</w:t>
      </w:r>
    </w:p>
    <w:p>
      <w:pPr>
        <w:keepNext w:val="0"/>
        <w:keepLines w:val="0"/>
        <w:pageBreakBefore w:val="0"/>
        <w:widowControl/>
        <w:kinsoku/>
        <w:wordWrap/>
        <w:overflowPunct/>
        <w:topLinePunct w:val="0"/>
        <w:autoSpaceDE/>
        <w:autoSpaceDN/>
        <w:bidi w:val="0"/>
        <w:adjustRightInd/>
        <w:snapToGrid/>
        <w:spacing w:line="324" w:lineRule="auto"/>
        <w:ind w:right="0"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5、本次招投标遵循投标单位自愿参与原则。一经参加投标，即视为投标单位完全同意招标条件、评标办法等招标文件的内容。</w:t>
      </w:r>
    </w:p>
    <w:p>
      <w:pPr>
        <w:keepNext w:val="0"/>
        <w:keepLines w:val="0"/>
        <w:pageBreakBefore w:val="0"/>
        <w:widowControl/>
        <w:kinsoku/>
        <w:wordWrap/>
        <w:overflowPunct/>
        <w:topLinePunct w:val="0"/>
        <w:autoSpaceDE/>
        <w:autoSpaceDN/>
        <w:bidi w:val="0"/>
        <w:adjustRightInd/>
        <w:snapToGrid/>
        <w:spacing w:after="0" w:line="324" w:lineRule="auto"/>
        <w:ind w:left="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十三、其他</w:t>
      </w:r>
    </w:p>
    <w:p>
      <w:pPr>
        <w:keepNext w:val="0"/>
        <w:keepLines w:val="0"/>
        <w:pageBreakBefore w:val="0"/>
        <w:widowControl/>
        <w:kinsoku/>
        <w:wordWrap/>
        <w:overflowPunct/>
        <w:topLinePunct w:val="0"/>
        <w:autoSpaceDE/>
        <w:autoSpaceDN/>
        <w:bidi w:val="0"/>
        <w:adjustRightInd/>
        <w:snapToGrid/>
        <w:spacing w:line="324" w:lineRule="auto"/>
        <w:ind w:right="0" w:firstLine="479"/>
        <w:textAlignment w:val="auto"/>
        <w:rPr>
          <w:rFonts w:hint="default" w:ascii="Times New Roman" w:hAnsi="Times New Roman" w:eastAsia="宋体" w:cs="Times New Roman"/>
          <w:spacing w:val="0"/>
          <w:sz w:val="24"/>
          <w:szCs w:val="24"/>
          <w:lang w:val="en-US" w:eastAsia="zh-CN"/>
        </w:rPr>
      </w:pPr>
      <w:r>
        <w:rPr>
          <w:rFonts w:hint="default" w:ascii="Times New Roman" w:hAnsi="Times New Roman" w:eastAsia="宋体" w:cs="Times New Roman"/>
          <w:spacing w:val="0"/>
          <w:sz w:val="24"/>
          <w:szCs w:val="24"/>
          <w:lang w:val="en-US" w:eastAsia="zh-CN"/>
        </w:rPr>
        <w:t>1、招标文件作为钢筋采购合同的组成部分。</w:t>
      </w:r>
    </w:p>
    <w:p>
      <w:pPr>
        <w:rPr>
          <w:rFonts w:hint="eastAsia" w:ascii="宋体" w:hAnsi="宋体" w:cs="宋体"/>
          <w:spacing w:val="-11"/>
          <w:sz w:val="22"/>
          <w:szCs w:val="22"/>
          <w:lang w:val="en-US" w:eastAsia="zh-CN"/>
        </w:rPr>
      </w:pPr>
      <w:r>
        <w:rPr>
          <w:rFonts w:hint="eastAsia" w:ascii="宋体" w:hAnsi="宋体" w:cs="宋体"/>
          <w:spacing w:val="-11"/>
          <w:sz w:val="22"/>
          <w:szCs w:val="22"/>
          <w:lang w:val="en-US" w:eastAsia="zh-CN"/>
        </w:rPr>
        <w:br w:type="page"/>
      </w:r>
    </w:p>
    <w:p>
      <w:pPr>
        <w:keepNext w:val="0"/>
        <w:keepLines w:val="0"/>
        <w:pageBreakBefore w:val="0"/>
        <w:widowControl/>
        <w:kinsoku/>
        <w:wordWrap/>
        <w:overflowPunct/>
        <w:topLinePunct w:val="0"/>
        <w:autoSpaceDE/>
        <w:autoSpaceDN/>
        <w:bidi w:val="0"/>
        <w:adjustRightInd/>
        <w:snapToGrid/>
        <w:spacing w:line="240" w:lineRule="auto"/>
        <w:ind w:left="11" w:leftChars="0" w:hanging="11" w:firstLineChars="0"/>
        <w:jc w:val="center"/>
        <w:textAlignment w:val="auto"/>
        <w:rPr>
          <w:rFonts w:hint="eastAsia" w:ascii="宋体" w:hAnsi="宋体" w:eastAsia="宋体" w:cs="宋体"/>
          <w:b/>
          <w:bCs/>
          <w:sz w:val="32"/>
          <w:szCs w:val="32"/>
        </w:rPr>
      </w:pPr>
      <w:r>
        <w:rPr>
          <w:rFonts w:hint="eastAsia" w:ascii="宋体" w:hAnsi="宋体" w:eastAsia="宋体" w:cs="宋体"/>
          <w:b/>
          <w:bCs/>
          <w:spacing w:val="6"/>
          <w:sz w:val="32"/>
          <w:szCs w:val="32"/>
        </w:rPr>
        <w:t>第</w:t>
      </w:r>
      <w:r>
        <w:rPr>
          <w:rFonts w:hint="eastAsia" w:ascii="宋体" w:hAnsi="宋体" w:cs="宋体"/>
          <w:b/>
          <w:bCs/>
          <w:spacing w:val="6"/>
          <w:sz w:val="32"/>
          <w:szCs w:val="32"/>
          <w:lang w:val="en-US" w:eastAsia="zh-CN"/>
        </w:rPr>
        <w:t>二</w:t>
      </w:r>
      <w:r>
        <w:rPr>
          <w:rFonts w:hint="eastAsia" w:ascii="宋体" w:hAnsi="宋体" w:eastAsia="宋体" w:cs="宋体"/>
          <w:b/>
          <w:bCs/>
          <w:spacing w:val="6"/>
          <w:sz w:val="32"/>
          <w:szCs w:val="32"/>
        </w:rPr>
        <w:t>章投标文件附件格式(附件1-8)</w:t>
      </w:r>
    </w:p>
    <w:p>
      <w:pPr>
        <w:spacing w:before="69" w:line="219" w:lineRule="auto"/>
        <w:ind w:left="0" w:leftChars="0" w:firstLine="0" w:firstLineChars="0"/>
        <w:rPr>
          <w:rFonts w:hint="eastAsia" w:ascii="宋体" w:hAnsi="宋体" w:eastAsia="宋体" w:cs="宋体"/>
          <w:sz w:val="24"/>
          <w:szCs w:val="24"/>
        </w:rPr>
      </w:pPr>
      <w:r>
        <w:rPr>
          <w:rFonts w:hint="eastAsia" w:ascii="宋体" w:hAnsi="宋体" w:eastAsia="宋体" w:cs="宋体"/>
          <w:spacing w:val="15"/>
          <w:sz w:val="24"/>
          <w:szCs w:val="24"/>
        </w:rPr>
        <w:t>附件1(封面格式)</w:t>
      </w:r>
    </w:p>
    <w:p>
      <w:pPr>
        <w:pStyle w:val="5"/>
        <w:spacing w:line="300" w:lineRule="auto"/>
      </w:pPr>
    </w:p>
    <w:p>
      <w:pPr>
        <w:spacing w:before="127" w:line="219" w:lineRule="auto"/>
        <w:jc w:val="center"/>
        <w:rPr>
          <w:rFonts w:hint="eastAsia" w:ascii="宋体" w:hAnsi="宋体" w:eastAsia="宋体" w:cs="宋体"/>
          <w:b/>
          <w:bCs/>
          <w:spacing w:val="-2"/>
          <w:sz w:val="39"/>
          <w:szCs w:val="39"/>
          <w:lang w:val="en-US" w:eastAsia="zh-CN"/>
        </w:rPr>
      </w:pPr>
      <w:r>
        <w:rPr>
          <w:rFonts w:hint="eastAsia" w:ascii="宋体" w:hAnsi="宋体" w:eastAsia="宋体" w:cs="宋体"/>
          <w:b/>
          <w:bCs/>
          <w:spacing w:val="-2"/>
          <w:sz w:val="39"/>
          <w:szCs w:val="39"/>
          <w:lang w:val="en-US" w:eastAsia="zh-CN"/>
        </w:rPr>
        <w:t>江苏省水利建设工程有限公司</w:t>
      </w:r>
    </w:p>
    <w:p>
      <w:pPr>
        <w:spacing w:before="127" w:line="219" w:lineRule="auto"/>
        <w:ind w:left="0" w:leftChars="0" w:firstLine="0" w:firstLineChars="0"/>
        <w:jc w:val="center"/>
        <w:rPr>
          <w:rFonts w:ascii="宋体" w:hAnsi="宋体" w:eastAsia="宋体" w:cs="宋体"/>
          <w:b/>
          <w:bCs/>
          <w:spacing w:val="-2"/>
          <w:sz w:val="39"/>
          <w:szCs w:val="39"/>
        </w:rPr>
      </w:pPr>
      <w:r>
        <w:rPr>
          <w:rFonts w:hint="eastAsia" w:ascii="宋体" w:hAnsi="宋体" w:eastAsia="宋体" w:cs="宋体"/>
          <w:b/>
          <w:bCs/>
          <w:spacing w:val="-2"/>
          <w:sz w:val="39"/>
          <w:szCs w:val="39"/>
          <w:lang w:val="en-US" w:eastAsia="zh-CN"/>
        </w:rPr>
        <w:t>洪泽湖周边滞洪区近期建设工程（泗洪县）施工16标</w:t>
      </w:r>
    </w:p>
    <w:p>
      <w:pPr>
        <w:pStyle w:val="5"/>
        <w:spacing w:line="310" w:lineRule="auto"/>
      </w:pPr>
    </w:p>
    <w:p>
      <w:pPr>
        <w:spacing w:before="127" w:line="219" w:lineRule="auto"/>
        <w:ind w:left="0" w:leftChars="0" w:firstLine="0" w:firstLineChars="0"/>
        <w:jc w:val="center"/>
        <w:rPr>
          <w:rFonts w:ascii="宋体" w:hAnsi="宋体" w:eastAsia="宋体" w:cs="宋体"/>
          <w:sz w:val="39"/>
          <w:szCs w:val="39"/>
        </w:rPr>
      </w:pPr>
      <w:r>
        <w:rPr>
          <w:rFonts w:hint="eastAsia" w:ascii="宋体" w:hAnsi="宋体" w:cs="宋体"/>
          <w:b/>
          <w:bCs/>
          <w:spacing w:val="-2"/>
          <w:sz w:val="39"/>
          <w:szCs w:val="39"/>
          <w:lang w:val="en-US" w:eastAsia="zh-CN"/>
        </w:rPr>
        <w:t>钢筋</w:t>
      </w:r>
      <w:r>
        <w:rPr>
          <w:rFonts w:ascii="宋体" w:hAnsi="宋体" w:eastAsia="宋体" w:cs="宋体"/>
          <w:b/>
          <w:bCs/>
          <w:spacing w:val="-2"/>
          <w:sz w:val="39"/>
          <w:szCs w:val="39"/>
        </w:rPr>
        <w:t>采购</w:t>
      </w:r>
    </w:p>
    <w:p>
      <w:pPr>
        <w:pStyle w:val="5"/>
        <w:spacing w:line="280" w:lineRule="auto"/>
      </w:pPr>
    </w:p>
    <w:p>
      <w:pPr>
        <w:pStyle w:val="5"/>
        <w:spacing w:line="280" w:lineRule="auto"/>
      </w:pPr>
    </w:p>
    <w:p>
      <w:pPr>
        <w:pStyle w:val="5"/>
        <w:spacing w:line="281" w:lineRule="auto"/>
      </w:pPr>
    </w:p>
    <w:p>
      <w:pPr>
        <w:spacing w:before="222" w:line="219" w:lineRule="auto"/>
        <w:ind w:left="0" w:leftChars="0" w:firstLine="0" w:firstLineChars="0"/>
        <w:jc w:val="center"/>
        <w:rPr>
          <w:rFonts w:ascii="宋体" w:hAnsi="宋体" w:eastAsia="宋体" w:cs="宋体"/>
          <w:sz w:val="68"/>
          <w:szCs w:val="68"/>
        </w:rPr>
      </w:pPr>
      <w:r>
        <w:rPr>
          <w:rFonts w:ascii="宋体" w:hAnsi="宋体" w:eastAsia="宋体" w:cs="宋体"/>
          <w:b/>
          <w:bCs/>
          <w:spacing w:val="-32"/>
          <w:sz w:val="68"/>
          <w:szCs w:val="68"/>
        </w:rPr>
        <w:t>投</w:t>
      </w:r>
      <w:r>
        <w:rPr>
          <w:rFonts w:ascii="宋体" w:hAnsi="宋体" w:eastAsia="宋体" w:cs="宋体"/>
          <w:spacing w:val="-81"/>
          <w:sz w:val="68"/>
          <w:szCs w:val="68"/>
        </w:rPr>
        <w:t xml:space="preserve"> </w:t>
      </w:r>
      <w:r>
        <w:rPr>
          <w:rFonts w:ascii="宋体" w:hAnsi="宋体" w:eastAsia="宋体" w:cs="宋体"/>
          <w:b/>
          <w:bCs/>
          <w:spacing w:val="-32"/>
          <w:sz w:val="68"/>
          <w:szCs w:val="68"/>
        </w:rPr>
        <w:t>标</w:t>
      </w:r>
      <w:r>
        <w:rPr>
          <w:rFonts w:ascii="宋体" w:hAnsi="宋体" w:eastAsia="宋体" w:cs="宋体"/>
          <w:spacing w:val="-79"/>
          <w:sz w:val="68"/>
          <w:szCs w:val="68"/>
        </w:rPr>
        <w:t xml:space="preserve"> </w:t>
      </w:r>
      <w:r>
        <w:rPr>
          <w:rFonts w:ascii="宋体" w:hAnsi="宋体" w:eastAsia="宋体" w:cs="宋体"/>
          <w:b/>
          <w:bCs/>
          <w:spacing w:val="-32"/>
          <w:sz w:val="68"/>
          <w:szCs w:val="68"/>
        </w:rPr>
        <w:t>文</w:t>
      </w:r>
      <w:r>
        <w:rPr>
          <w:rFonts w:ascii="宋体" w:hAnsi="宋体" w:eastAsia="宋体" w:cs="宋体"/>
          <w:spacing w:val="-88"/>
          <w:sz w:val="68"/>
          <w:szCs w:val="68"/>
        </w:rPr>
        <w:t xml:space="preserve"> </w:t>
      </w:r>
      <w:r>
        <w:rPr>
          <w:rFonts w:ascii="宋体" w:hAnsi="宋体" w:eastAsia="宋体" w:cs="宋体"/>
          <w:b/>
          <w:bCs/>
          <w:spacing w:val="-32"/>
          <w:sz w:val="68"/>
          <w:szCs w:val="68"/>
        </w:rPr>
        <w:t>件</w:t>
      </w:r>
    </w:p>
    <w:p>
      <w:pPr>
        <w:pStyle w:val="5"/>
        <w:spacing w:line="242" w:lineRule="auto"/>
      </w:pPr>
    </w:p>
    <w:p>
      <w:pPr>
        <w:pStyle w:val="5"/>
        <w:spacing w:line="243" w:lineRule="auto"/>
      </w:pPr>
    </w:p>
    <w:p>
      <w:pPr>
        <w:pStyle w:val="5"/>
        <w:spacing w:line="243" w:lineRule="auto"/>
      </w:pPr>
    </w:p>
    <w:p>
      <w:pPr>
        <w:pStyle w:val="5"/>
        <w:spacing w:line="243" w:lineRule="auto"/>
      </w:pPr>
    </w:p>
    <w:p>
      <w:pPr>
        <w:pStyle w:val="5"/>
        <w:spacing w:line="243" w:lineRule="auto"/>
      </w:pPr>
    </w:p>
    <w:p>
      <w:pPr>
        <w:pStyle w:val="5"/>
        <w:spacing w:line="243" w:lineRule="auto"/>
      </w:pPr>
    </w:p>
    <w:p>
      <w:pPr>
        <w:pStyle w:val="5"/>
        <w:spacing w:line="243" w:lineRule="auto"/>
      </w:pPr>
    </w:p>
    <w:p>
      <w:pPr>
        <w:pStyle w:val="5"/>
        <w:spacing w:line="243" w:lineRule="auto"/>
      </w:pPr>
    </w:p>
    <w:p>
      <w:pPr>
        <w:pStyle w:val="5"/>
        <w:spacing w:line="243" w:lineRule="auto"/>
      </w:pPr>
    </w:p>
    <w:p>
      <w:pPr>
        <w:pStyle w:val="5"/>
        <w:spacing w:line="243" w:lineRule="auto"/>
      </w:pPr>
    </w:p>
    <w:p>
      <w:pPr>
        <w:pStyle w:val="5"/>
        <w:spacing w:line="243" w:lineRule="auto"/>
      </w:pPr>
    </w:p>
    <w:p>
      <w:pPr>
        <w:pStyle w:val="5"/>
        <w:spacing w:line="243" w:lineRule="auto"/>
      </w:pPr>
    </w:p>
    <w:p>
      <w:pPr>
        <w:pStyle w:val="5"/>
        <w:spacing w:line="243" w:lineRule="auto"/>
      </w:pPr>
    </w:p>
    <w:p>
      <w:pPr>
        <w:pStyle w:val="5"/>
        <w:spacing w:line="243" w:lineRule="auto"/>
      </w:pPr>
    </w:p>
    <w:p>
      <w:pPr>
        <w:pStyle w:val="5"/>
        <w:spacing w:line="243" w:lineRule="auto"/>
      </w:pPr>
    </w:p>
    <w:p>
      <w:pPr>
        <w:pStyle w:val="5"/>
        <w:spacing w:line="243" w:lineRule="auto"/>
      </w:pPr>
    </w:p>
    <w:p>
      <w:pPr>
        <w:spacing w:before="78" w:line="219" w:lineRule="auto"/>
        <w:ind w:left="973"/>
        <w:rPr>
          <w:rFonts w:ascii="宋体" w:hAnsi="宋体" w:eastAsia="宋体" w:cs="宋体"/>
          <w:b/>
          <w:bCs/>
          <w:sz w:val="24"/>
          <w:szCs w:val="24"/>
        </w:rPr>
      </w:pPr>
      <w:r>
        <w:rPr>
          <w:rFonts w:ascii="宋体" w:hAnsi="宋体" w:eastAsia="宋体" w:cs="宋体"/>
          <w:b/>
          <w:bCs/>
          <w:spacing w:val="11"/>
          <w:sz w:val="24"/>
          <w:szCs w:val="24"/>
        </w:rPr>
        <w:t>投标单位名称(盖章)</w:t>
      </w:r>
    </w:p>
    <w:p>
      <w:pPr>
        <w:pStyle w:val="5"/>
        <w:spacing w:line="358" w:lineRule="auto"/>
        <w:rPr>
          <w:b/>
          <w:bCs/>
          <w:sz w:val="24"/>
          <w:szCs w:val="24"/>
        </w:rPr>
      </w:pPr>
    </w:p>
    <w:p>
      <w:pPr>
        <w:pStyle w:val="5"/>
        <w:spacing w:line="358" w:lineRule="auto"/>
        <w:rPr>
          <w:b/>
          <w:bCs/>
          <w:sz w:val="24"/>
          <w:szCs w:val="24"/>
        </w:rPr>
      </w:pPr>
    </w:p>
    <w:p>
      <w:pPr>
        <w:spacing w:before="79" w:line="219" w:lineRule="auto"/>
        <w:ind w:left="969"/>
        <w:rPr>
          <w:rFonts w:ascii="宋体" w:hAnsi="宋体" w:eastAsia="宋体" w:cs="宋体"/>
          <w:b/>
          <w:bCs/>
          <w:sz w:val="24"/>
          <w:szCs w:val="24"/>
        </w:rPr>
      </w:pPr>
      <w:r>
        <w:rPr>
          <w:rFonts w:ascii="宋体" w:hAnsi="宋体" w:eastAsia="宋体" w:cs="宋体"/>
          <w:b/>
          <w:bCs/>
          <w:spacing w:val="14"/>
          <w:sz w:val="24"/>
          <w:szCs w:val="24"/>
        </w:rPr>
        <w:t>法定代表人(签章)</w:t>
      </w:r>
    </w:p>
    <w:p>
      <w:pPr>
        <w:pStyle w:val="5"/>
        <w:spacing w:line="298" w:lineRule="auto"/>
        <w:rPr>
          <w:b/>
          <w:bCs/>
          <w:sz w:val="24"/>
          <w:szCs w:val="24"/>
        </w:rPr>
      </w:pPr>
    </w:p>
    <w:p>
      <w:pPr>
        <w:pStyle w:val="5"/>
        <w:spacing w:line="299" w:lineRule="auto"/>
        <w:rPr>
          <w:b/>
          <w:bCs/>
          <w:sz w:val="24"/>
          <w:szCs w:val="24"/>
        </w:rPr>
      </w:pPr>
    </w:p>
    <w:p>
      <w:pPr>
        <w:spacing w:before="62" w:line="220" w:lineRule="auto"/>
        <w:ind w:left="972"/>
        <w:rPr>
          <w:rFonts w:ascii="宋体" w:hAnsi="宋体" w:eastAsia="宋体" w:cs="宋体"/>
          <w:b/>
          <w:bCs/>
          <w:spacing w:val="26"/>
          <w:sz w:val="19"/>
          <w:szCs w:val="19"/>
        </w:rPr>
      </w:pPr>
      <w:r>
        <w:rPr>
          <w:rFonts w:ascii="宋体" w:hAnsi="宋体" w:eastAsia="宋体" w:cs="宋体"/>
          <w:b/>
          <w:bCs/>
          <w:spacing w:val="26"/>
          <w:sz w:val="24"/>
          <w:szCs w:val="24"/>
        </w:rPr>
        <w:t>投标日期</w:t>
      </w:r>
      <w:r>
        <w:rPr>
          <w:rFonts w:ascii="宋体" w:hAnsi="宋体" w:eastAsia="宋体" w:cs="宋体"/>
          <w:b/>
          <w:bCs/>
          <w:spacing w:val="-43"/>
          <w:sz w:val="24"/>
          <w:szCs w:val="24"/>
        </w:rPr>
        <w:t xml:space="preserve"> </w:t>
      </w:r>
      <w:r>
        <w:rPr>
          <w:rFonts w:ascii="宋体" w:hAnsi="宋体" w:eastAsia="宋体" w:cs="宋体"/>
          <w:b/>
          <w:bCs/>
          <w:spacing w:val="26"/>
          <w:sz w:val="19"/>
          <w:szCs w:val="19"/>
        </w:rPr>
        <w:t>：</w:t>
      </w:r>
    </w:p>
    <w:p>
      <w:pPr>
        <w:spacing w:before="62" w:line="220" w:lineRule="auto"/>
        <w:ind w:left="972"/>
        <w:rPr>
          <w:rFonts w:ascii="宋体" w:hAnsi="宋体" w:eastAsia="宋体" w:cs="宋体"/>
          <w:b/>
          <w:bCs/>
          <w:spacing w:val="26"/>
          <w:sz w:val="19"/>
          <w:szCs w:val="19"/>
        </w:rPr>
      </w:pPr>
    </w:p>
    <w:p>
      <w:pPr>
        <w:spacing w:before="62" w:line="220" w:lineRule="auto"/>
        <w:ind w:left="972"/>
        <w:rPr>
          <w:rFonts w:ascii="宋体" w:hAnsi="宋体" w:eastAsia="宋体" w:cs="宋体"/>
          <w:b/>
          <w:bCs/>
          <w:spacing w:val="26"/>
          <w:sz w:val="19"/>
          <w:szCs w:val="19"/>
        </w:rPr>
      </w:pPr>
    </w:p>
    <w:p>
      <w:pPr>
        <w:spacing w:before="62" w:line="220" w:lineRule="auto"/>
        <w:ind w:left="972"/>
        <w:rPr>
          <w:rFonts w:ascii="宋体" w:hAnsi="宋体" w:eastAsia="宋体" w:cs="宋体"/>
          <w:spacing w:val="-7"/>
          <w:sz w:val="24"/>
          <w:szCs w:val="24"/>
        </w:rPr>
      </w:pPr>
      <w:r>
        <w:rPr>
          <w:rFonts w:ascii="宋体" w:hAnsi="宋体" w:eastAsia="宋体" w:cs="宋体"/>
          <w:spacing w:val="-7"/>
          <w:sz w:val="24"/>
          <w:szCs w:val="24"/>
        </w:rPr>
        <w:br w:type="page"/>
      </w:r>
    </w:p>
    <w:p>
      <w:pPr>
        <w:spacing w:before="41" w:line="219" w:lineRule="auto"/>
        <w:ind w:left="0" w:leftChars="0" w:firstLine="0" w:firstLineChars="0"/>
        <w:rPr>
          <w:rFonts w:ascii="宋体" w:hAnsi="宋体" w:eastAsia="宋体" w:cs="宋体"/>
          <w:sz w:val="21"/>
          <w:szCs w:val="21"/>
        </w:rPr>
      </w:pPr>
      <w:r>
        <w:rPr>
          <w:rFonts w:ascii="宋体" w:hAnsi="宋体" w:eastAsia="宋体" w:cs="宋体"/>
          <w:spacing w:val="-7"/>
          <w:sz w:val="21"/>
          <w:szCs w:val="21"/>
        </w:rPr>
        <w:t>附件2</w:t>
      </w:r>
    </w:p>
    <w:p>
      <w:pPr>
        <w:spacing w:before="14" w:line="220" w:lineRule="auto"/>
        <w:ind w:left="0" w:leftChars="0" w:firstLine="0" w:firstLineChars="0"/>
        <w:jc w:val="center"/>
        <w:rPr>
          <w:rFonts w:ascii="宋体" w:hAnsi="宋体" w:eastAsia="宋体" w:cs="宋体"/>
          <w:sz w:val="35"/>
          <w:szCs w:val="35"/>
        </w:rPr>
      </w:pPr>
      <w:r>
        <w:rPr>
          <w:rFonts w:ascii="宋体" w:hAnsi="宋体" w:eastAsia="宋体" w:cs="宋体"/>
          <w:b/>
          <w:bCs/>
          <w:spacing w:val="70"/>
          <w:sz w:val="35"/>
          <w:szCs w:val="35"/>
        </w:rPr>
        <w:t>投标函</w:t>
      </w:r>
    </w:p>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textAlignment w:val="auto"/>
        <w:rPr>
          <w:rFonts w:ascii="宋体" w:hAnsi="宋体" w:eastAsia="宋体" w:cs="宋体"/>
          <w:spacing w:val="0"/>
          <w:sz w:val="24"/>
          <w:szCs w:val="24"/>
        </w:rPr>
      </w:pPr>
    </w:p>
    <w:p>
      <w:pPr>
        <w:keepNext w:val="0"/>
        <w:keepLines w:val="0"/>
        <w:pageBreakBefore w:val="0"/>
        <w:widowControl/>
        <w:kinsoku/>
        <w:wordWrap/>
        <w:overflowPunct/>
        <w:topLinePunct w:val="0"/>
        <w:autoSpaceDE/>
        <w:autoSpaceDN/>
        <w:bidi w:val="0"/>
        <w:adjustRightInd/>
        <w:snapToGrid/>
        <w:spacing w:line="360" w:lineRule="auto"/>
        <w:ind w:left="0" w:leftChars="0" w:right="0" w:firstLine="0" w:firstLineChars="0"/>
        <w:textAlignment w:val="auto"/>
        <w:rPr>
          <w:rFonts w:ascii="宋体" w:hAnsi="宋体" w:eastAsia="宋体" w:cs="宋体"/>
          <w:spacing w:val="0"/>
          <w:sz w:val="24"/>
          <w:szCs w:val="24"/>
        </w:rPr>
      </w:pPr>
      <w:r>
        <w:rPr>
          <w:rFonts w:ascii="宋体" w:hAnsi="宋体" w:eastAsia="宋体" w:cs="宋体"/>
          <w:spacing w:val="0"/>
          <w:sz w:val="24"/>
          <w:szCs w:val="24"/>
        </w:rPr>
        <w:t>江苏省水利建设工程有限公司：</w:t>
      </w:r>
    </w:p>
    <w:p>
      <w:pPr>
        <w:keepNext w:val="0"/>
        <w:keepLines w:val="0"/>
        <w:pageBreakBefore w:val="0"/>
        <w:widowControl/>
        <w:kinsoku/>
        <w:wordWrap/>
        <w:overflowPunct/>
        <w:topLinePunct w:val="0"/>
        <w:autoSpaceDE/>
        <w:autoSpaceDN/>
        <w:bidi w:val="0"/>
        <w:adjustRightInd/>
        <w:snapToGrid/>
        <w:spacing w:line="360" w:lineRule="auto"/>
        <w:ind w:left="0" w:right="0" w:firstLine="479"/>
        <w:textAlignment w:val="auto"/>
        <w:rPr>
          <w:rFonts w:ascii="宋体" w:hAnsi="宋体" w:eastAsia="宋体" w:cs="宋体"/>
          <w:spacing w:val="0"/>
          <w:sz w:val="24"/>
          <w:szCs w:val="24"/>
        </w:rPr>
      </w:pPr>
      <w:r>
        <w:rPr>
          <w:rFonts w:ascii="宋体" w:hAnsi="宋体" w:eastAsia="宋体" w:cs="宋体"/>
          <w:spacing w:val="0"/>
          <w:sz w:val="24"/>
          <w:szCs w:val="24"/>
        </w:rPr>
        <w:t>根据收到的贵公司采购</w:t>
      </w:r>
      <w:r>
        <w:rPr>
          <w:rFonts w:hint="eastAsia"/>
          <w:b/>
          <w:bCs/>
          <w:color w:val="000000"/>
          <w:szCs w:val="21"/>
          <w:u w:val="single"/>
        </w:rPr>
        <w:t>洪泽湖周边滞洪区近期建设工程（泗洪县）施工16标</w:t>
      </w:r>
      <w:r>
        <w:rPr>
          <w:rFonts w:ascii="宋体" w:hAnsi="宋体" w:eastAsia="宋体" w:cs="宋体"/>
          <w:spacing w:val="0"/>
          <w:sz w:val="24"/>
          <w:szCs w:val="24"/>
        </w:rPr>
        <w:t>所用</w:t>
      </w:r>
      <w:r>
        <w:rPr>
          <w:rFonts w:hint="eastAsia" w:ascii="宋体" w:hAnsi="宋体" w:cs="宋体"/>
          <w:spacing w:val="0"/>
          <w:sz w:val="24"/>
          <w:szCs w:val="24"/>
          <w:lang w:val="en-US" w:eastAsia="zh-CN"/>
        </w:rPr>
        <w:t>钢筋</w:t>
      </w:r>
      <w:r>
        <w:rPr>
          <w:rFonts w:ascii="宋体" w:hAnsi="宋体" w:eastAsia="宋体" w:cs="宋体"/>
          <w:spacing w:val="0"/>
          <w:sz w:val="24"/>
          <w:szCs w:val="24"/>
        </w:rPr>
        <w:t>的招标文件，我方(投标人)完全接受招标文件的要求和买卖合同的全部条款。并致函如下：</w:t>
      </w:r>
    </w:p>
    <w:p>
      <w:pPr>
        <w:keepNext w:val="0"/>
        <w:keepLines w:val="0"/>
        <w:pageBreakBefore w:val="0"/>
        <w:widowControl/>
        <w:kinsoku/>
        <w:wordWrap/>
        <w:overflowPunct/>
        <w:topLinePunct w:val="0"/>
        <w:autoSpaceDE/>
        <w:autoSpaceDN/>
        <w:bidi w:val="0"/>
        <w:adjustRightInd/>
        <w:snapToGrid/>
        <w:spacing w:line="360" w:lineRule="auto"/>
        <w:ind w:left="0" w:right="0"/>
        <w:textAlignment w:val="auto"/>
        <w:rPr>
          <w:rFonts w:ascii="宋体" w:hAnsi="宋体" w:eastAsia="宋体" w:cs="宋体"/>
          <w:spacing w:val="0"/>
          <w:sz w:val="24"/>
          <w:szCs w:val="24"/>
        </w:rPr>
      </w:pPr>
      <w:r>
        <w:rPr>
          <w:rFonts w:ascii="宋体" w:hAnsi="宋体" w:eastAsia="宋体" w:cs="宋体"/>
          <w:spacing w:val="0"/>
          <w:sz w:val="24"/>
          <w:szCs w:val="24"/>
        </w:rPr>
        <w:t>1、我方愿意按照招标文件的一切要求，提供标书所列产品，明细见《投标报价表》。</w:t>
      </w:r>
    </w:p>
    <w:p>
      <w:pPr>
        <w:keepNext w:val="0"/>
        <w:keepLines w:val="0"/>
        <w:pageBreakBefore w:val="0"/>
        <w:widowControl/>
        <w:kinsoku/>
        <w:wordWrap/>
        <w:overflowPunct/>
        <w:topLinePunct w:val="0"/>
        <w:autoSpaceDE/>
        <w:autoSpaceDN/>
        <w:bidi w:val="0"/>
        <w:adjustRightInd/>
        <w:snapToGrid/>
        <w:spacing w:line="360" w:lineRule="auto"/>
        <w:ind w:left="0" w:right="0" w:firstLine="479"/>
        <w:textAlignment w:val="auto"/>
        <w:rPr>
          <w:rFonts w:ascii="宋体" w:hAnsi="宋体" w:eastAsia="宋体" w:cs="宋体"/>
          <w:spacing w:val="0"/>
          <w:sz w:val="24"/>
          <w:szCs w:val="24"/>
        </w:rPr>
      </w:pPr>
      <w:r>
        <w:rPr>
          <w:rFonts w:ascii="宋体" w:hAnsi="宋体" w:eastAsia="宋体" w:cs="宋体"/>
          <w:spacing w:val="0"/>
          <w:sz w:val="24"/>
          <w:szCs w:val="24"/>
        </w:rPr>
        <w:t>2、如果我方中标签约，我们将严格履行招标文件中规定的每一项要求，严格履行合同义务；如果由于我方自身失误形成的风险均由我方承担。</w:t>
      </w:r>
    </w:p>
    <w:p>
      <w:pPr>
        <w:keepNext w:val="0"/>
        <w:keepLines w:val="0"/>
        <w:pageBreakBefore w:val="0"/>
        <w:widowControl/>
        <w:kinsoku/>
        <w:wordWrap/>
        <w:overflowPunct/>
        <w:topLinePunct w:val="0"/>
        <w:autoSpaceDE/>
        <w:autoSpaceDN/>
        <w:bidi w:val="0"/>
        <w:adjustRightInd/>
        <w:snapToGrid/>
        <w:spacing w:line="360" w:lineRule="auto"/>
        <w:ind w:left="0" w:right="0" w:firstLine="479"/>
        <w:textAlignment w:val="auto"/>
        <w:rPr>
          <w:rFonts w:ascii="宋体" w:hAnsi="宋体" w:eastAsia="宋体" w:cs="宋体"/>
          <w:spacing w:val="0"/>
          <w:sz w:val="24"/>
          <w:szCs w:val="24"/>
        </w:rPr>
      </w:pPr>
      <w:r>
        <w:rPr>
          <w:rFonts w:ascii="宋体" w:hAnsi="宋体" w:eastAsia="宋体" w:cs="宋体"/>
          <w:spacing w:val="0"/>
          <w:sz w:val="24"/>
          <w:szCs w:val="24"/>
        </w:rPr>
        <w:t>3、我方再次重申：完全同意投标须知中关于“评标方式、标准、方法及特别提示”等陈述，我方认为贵公司有权单方决定中标者，还认为价格和质量、信誉和服务是中标的重要选择标准；无论贵公司是否选择我方作为中标单位，我方均尊重和认可贵公司的决定。</w:t>
      </w:r>
    </w:p>
    <w:p>
      <w:pPr>
        <w:keepNext w:val="0"/>
        <w:keepLines w:val="0"/>
        <w:pageBreakBefore w:val="0"/>
        <w:widowControl/>
        <w:kinsoku/>
        <w:wordWrap/>
        <w:overflowPunct/>
        <w:topLinePunct w:val="0"/>
        <w:autoSpaceDE/>
        <w:autoSpaceDN/>
        <w:bidi w:val="0"/>
        <w:adjustRightInd/>
        <w:snapToGrid/>
        <w:spacing w:line="360" w:lineRule="auto"/>
        <w:ind w:left="0" w:right="0" w:firstLine="479"/>
        <w:textAlignment w:val="auto"/>
        <w:rPr>
          <w:rFonts w:ascii="宋体" w:hAnsi="宋体" w:eastAsia="宋体" w:cs="宋体"/>
          <w:spacing w:val="0"/>
          <w:sz w:val="24"/>
          <w:szCs w:val="24"/>
        </w:rPr>
      </w:pPr>
      <w:r>
        <w:rPr>
          <w:rFonts w:ascii="宋体" w:hAnsi="宋体" w:eastAsia="宋体" w:cs="宋体"/>
          <w:spacing w:val="0"/>
          <w:sz w:val="24"/>
          <w:szCs w:val="24"/>
        </w:rPr>
        <w:t>4、我方投标文件(包括对招标文件承诺的内容、不同意见的偏离说明)在开标后的全过程中保持有效，不作任何更改和变动。</w:t>
      </w:r>
    </w:p>
    <w:p>
      <w:pPr>
        <w:keepNext w:val="0"/>
        <w:keepLines w:val="0"/>
        <w:pageBreakBefore w:val="0"/>
        <w:widowControl/>
        <w:kinsoku/>
        <w:wordWrap/>
        <w:overflowPunct/>
        <w:topLinePunct w:val="0"/>
        <w:autoSpaceDE/>
        <w:autoSpaceDN/>
        <w:bidi w:val="0"/>
        <w:adjustRightInd/>
        <w:snapToGrid/>
        <w:spacing w:line="360" w:lineRule="auto"/>
        <w:ind w:left="0" w:right="0" w:firstLine="479"/>
        <w:textAlignment w:val="auto"/>
        <w:rPr>
          <w:rFonts w:ascii="宋体" w:hAnsi="宋体" w:eastAsia="宋体" w:cs="宋体"/>
          <w:spacing w:val="0"/>
          <w:sz w:val="24"/>
          <w:szCs w:val="24"/>
        </w:rPr>
      </w:pPr>
      <w:r>
        <w:rPr>
          <w:rFonts w:ascii="宋体" w:hAnsi="宋体" w:eastAsia="宋体" w:cs="宋体"/>
          <w:spacing w:val="0"/>
          <w:sz w:val="24"/>
          <w:szCs w:val="24"/>
        </w:rPr>
        <w:t>5、投标文件中所有关于投标资格的文件、证明、陈述均是真实的、准确的。若有违背，我单位愿意承担由此产生的一切后果。如最终确定我方供货，我方愿意按合同条款签约。</w:t>
      </w:r>
    </w:p>
    <w:p>
      <w:pPr>
        <w:keepNext w:val="0"/>
        <w:keepLines w:val="0"/>
        <w:pageBreakBefore w:val="0"/>
        <w:widowControl/>
        <w:kinsoku/>
        <w:wordWrap/>
        <w:overflowPunct/>
        <w:topLinePunct w:val="0"/>
        <w:autoSpaceDE/>
        <w:autoSpaceDN/>
        <w:bidi w:val="0"/>
        <w:adjustRightInd/>
        <w:snapToGrid/>
        <w:spacing w:line="360" w:lineRule="auto"/>
        <w:ind w:left="0" w:right="0"/>
        <w:textAlignment w:val="auto"/>
        <w:rPr>
          <w:rFonts w:ascii="宋体" w:hAnsi="宋体" w:eastAsia="宋体" w:cs="宋体"/>
          <w:spacing w:val="0"/>
          <w:sz w:val="24"/>
          <w:szCs w:val="24"/>
        </w:rPr>
      </w:pPr>
      <w:r>
        <w:rPr>
          <w:rFonts w:ascii="宋体" w:hAnsi="宋体" w:eastAsia="宋体" w:cs="宋体"/>
          <w:spacing w:val="0"/>
          <w:sz w:val="24"/>
          <w:szCs w:val="24"/>
        </w:rPr>
        <w:t>6、所有有关招投标的函电，请按下列地址联系：</w:t>
      </w:r>
    </w:p>
    <w:p>
      <w:pPr>
        <w:tabs>
          <w:tab w:val="left" w:pos="5680"/>
        </w:tabs>
        <w:spacing w:line="480" w:lineRule="auto"/>
        <w:rPr>
          <w:rFonts w:hint="eastAsia" w:ascii="宋体" w:hAnsi="宋体" w:cs="宋体"/>
          <w:color w:val="000000"/>
          <w:sz w:val="24"/>
          <w:szCs w:val="24"/>
        </w:rPr>
      </w:pPr>
    </w:p>
    <w:p>
      <w:pPr>
        <w:tabs>
          <w:tab w:val="left" w:pos="5680"/>
        </w:tabs>
        <w:spacing w:line="480" w:lineRule="auto"/>
        <w:rPr>
          <w:rFonts w:hint="eastAsia" w:ascii="宋体" w:hAnsi="宋体" w:cs="宋体"/>
          <w:color w:val="000000"/>
          <w:sz w:val="24"/>
          <w:szCs w:val="24"/>
        </w:rPr>
      </w:pPr>
      <w:r>
        <w:rPr>
          <w:rFonts w:hint="eastAsia" w:ascii="宋体" w:hAnsi="宋体" w:cs="宋体"/>
          <w:color w:val="000000"/>
          <w:sz w:val="24"/>
          <w:szCs w:val="24"/>
        </w:rPr>
        <w:t>投标单位：</w:t>
      </w:r>
      <w:r>
        <w:rPr>
          <w:rFonts w:hint="eastAsia" w:ascii="宋体" w:hAnsi="宋体" w:cs="宋体"/>
          <w:color w:val="000000"/>
          <w:sz w:val="24"/>
          <w:szCs w:val="24"/>
        </w:rPr>
        <w:tab/>
      </w:r>
      <w:r>
        <w:rPr>
          <w:rFonts w:hint="eastAsia" w:ascii="宋体" w:hAnsi="宋体" w:cs="宋体"/>
          <w:color w:val="000000"/>
          <w:sz w:val="24"/>
          <w:szCs w:val="24"/>
        </w:rPr>
        <w:t>邮编：</w:t>
      </w:r>
    </w:p>
    <w:p>
      <w:pPr>
        <w:tabs>
          <w:tab w:val="left" w:pos="5680"/>
        </w:tabs>
        <w:spacing w:line="480" w:lineRule="auto"/>
        <w:rPr>
          <w:rFonts w:hint="eastAsia" w:ascii="宋体" w:hAnsi="宋体" w:cs="宋体"/>
          <w:color w:val="000000"/>
          <w:sz w:val="24"/>
          <w:szCs w:val="24"/>
        </w:rPr>
      </w:pPr>
      <w:r>
        <w:rPr>
          <w:rFonts w:hint="eastAsia" w:ascii="宋体" w:hAnsi="宋体" w:cs="宋体"/>
          <w:color w:val="000000"/>
          <w:sz w:val="24"/>
          <w:szCs w:val="24"/>
        </w:rPr>
        <w:t>法定代表人（或委托代理人）：</w:t>
      </w:r>
      <w:r>
        <w:rPr>
          <w:rFonts w:hint="eastAsia" w:ascii="宋体" w:hAnsi="宋体" w:cs="宋体"/>
          <w:color w:val="000000"/>
          <w:sz w:val="24"/>
          <w:szCs w:val="24"/>
        </w:rPr>
        <w:tab/>
      </w:r>
      <w:r>
        <w:rPr>
          <w:rFonts w:hint="eastAsia" w:ascii="宋体" w:hAnsi="宋体" w:cs="宋体"/>
          <w:color w:val="000000"/>
          <w:sz w:val="24"/>
          <w:szCs w:val="24"/>
        </w:rPr>
        <w:t xml:space="preserve">地址： </w:t>
      </w:r>
    </w:p>
    <w:p>
      <w:pPr>
        <w:tabs>
          <w:tab w:val="left" w:pos="5680"/>
        </w:tabs>
        <w:spacing w:line="480" w:lineRule="auto"/>
        <w:rPr>
          <w:rFonts w:hint="eastAsia" w:ascii="宋体" w:hAnsi="宋体" w:cs="宋体"/>
          <w:color w:val="000000"/>
          <w:sz w:val="24"/>
          <w:szCs w:val="24"/>
        </w:rPr>
      </w:pPr>
      <w:r>
        <w:rPr>
          <w:rFonts w:hint="eastAsia" w:ascii="宋体" w:hAnsi="宋体" w:cs="宋体"/>
          <w:color w:val="000000"/>
          <w:sz w:val="24"/>
          <w:szCs w:val="24"/>
        </w:rPr>
        <w:t>账户名称：</w:t>
      </w:r>
      <w:r>
        <w:rPr>
          <w:rFonts w:hint="eastAsia" w:ascii="宋体" w:hAnsi="宋体" w:cs="宋体"/>
          <w:color w:val="000000"/>
          <w:sz w:val="24"/>
          <w:szCs w:val="24"/>
        </w:rPr>
        <w:tab/>
      </w:r>
      <w:r>
        <w:rPr>
          <w:rFonts w:hint="eastAsia" w:ascii="宋体" w:hAnsi="宋体" w:cs="宋体"/>
          <w:color w:val="000000"/>
          <w:sz w:val="24"/>
          <w:szCs w:val="24"/>
        </w:rPr>
        <w:t xml:space="preserve">电话： </w:t>
      </w:r>
    </w:p>
    <w:p>
      <w:pPr>
        <w:tabs>
          <w:tab w:val="left" w:pos="5680"/>
        </w:tabs>
        <w:spacing w:line="480" w:lineRule="auto"/>
        <w:rPr>
          <w:rFonts w:hint="eastAsia" w:ascii="宋体" w:hAnsi="宋体" w:cs="宋体"/>
          <w:color w:val="000000"/>
          <w:sz w:val="24"/>
          <w:szCs w:val="24"/>
        </w:rPr>
      </w:pPr>
      <w:r>
        <w:rPr>
          <w:rFonts w:hint="eastAsia" w:ascii="宋体" w:hAnsi="宋体" w:cs="宋体"/>
          <w:color w:val="000000"/>
          <w:sz w:val="24"/>
          <w:szCs w:val="24"/>
        </w:rPr>
        <w:t>开户银行：</w:t>
      </w:r>
      <w:r>
        <w:rPr>
          <w:rFonts w:hint="eastAsia" w:ascii="宋体" w:hAnsi="宋体" w:cs="宋体"/>
          <w:color w:val="000000"/>
          <w:sz w:val="24"/>
          <w:szCs w:val="24"/>
        </w:rPr>
        <w:tab/>
      </w:r>
      <w:r>
        <w:rPr>
          <w:rFonts w:hint="eastAsia" w:ascii="宋体" w:hAnsi="宋体" w:cs="宋体"/>
          <w:color w:val="000000"/>
          <w:sz w:val="24"/>
          <w:szCs w:val="24"/>
        </w:rPr>
        <w:t>传真：</w:t>
      </w:r>
    </w:p>
    <w:p>
      <w:pPr>
        <w:tabs>
          <w:tab w:val="left" w:pos="5680"/>
        </w:tabs>
        <w:spacing w:line="480" w:lineRule="auto"/>
        <w:rPr>
          <w:rFonts w:hint="eastAsia" w:ascii="宋体" w:hAnsi="宋体" w:cs="宋体"/>
          <w:color w:val="000000"/>
          <w:sz w:val="24"/>
          <w:szCs w:val="24"/>
        </w:rPr>
      </w:pPr>
      <w:r>
        <w:rPr>
          <w:rFonts w:hint="eastAsia" w:ascii="宋体" w:hAnsi="宋体" w:cs="宋体"/>
          <w:color w:val="000000"/>
          <w:sz w:val="24"/>
          <w:szCs w:val="24"/>
        </w:rPr>
        <w:t>银行账号：</w:t>
      </w:r>
      <w:r>
        <w:rPr>
          <w:rFonts w:hint="eastAsia" w:ascii="宋体" w:hAnsi="宋体" w:cs="宋体"/>
          <w:color w:val="000000"/>
          <w:sz w:val="24"/>
          <w:szCs w:val="24"/>
        </w:rPr>
        <w:tab/>
      </w:r>
      <w:r>
        <w:rPr>
          <w:rFonts w:hint="eastAsia" w:ascii="宋体" w:hAnsi="宋体" w:cs="宋体"/>
          <w:color w:val="000000"/>
          <w:sz w:val="24"/>
          <w:szCs w:val="24"/>
        </w:rPr>
        <w:t>投标单位（公章）：</w:t>
      </w:r>
    </w:p>
    <w:p>
      <w:pPr>
        <w:widowControl/>
        <w:spacing w:line="360" w:lineRule="auto"/>
        <w:ind w:firstLine="6360" w:firstLineChars="2650"/>
        <w:jc w:val="left"/>
        <w:rPr>
          <w:kern w:val="0"/>
          <w:sz w:val="24"/>
          <w:szCs w:val="24"/>
        </w:rPr>
      </w:pPr>
      <w:r>
        <w:rPr>
          <w:rFonts w:ascii="宋体" w:hAnsi="宋体"/>
          <w:kern w:val="0"/>
          <w:sz w:val="24"/>
          <w:szCs w:val="24"/>
        </w:rPr>
        <w:t xml:space="preserve"> 年</w:t>
      </w:r>
      <w:r>
        <w:rPr>
          <w:rFonts w:hint="eastAsia" w:ascii="宋体" w:hAnsi="宋体"/>
          <w:kern w:val="0"/>
          <w:sz w:val="24"/>
          <w:szCs w:val="24"/>
        </w:rPr>
        <w:t xml:space="preserve"> </w:t>
      </w:r>
      <w:r>
        <w:rPr>
          <w:rFonts w:ascii="宋体" w:hAnsi="宋体"/>
          <w:kern w:val="0"/>
          <w:sz w:val="24"/>
          <w:szCs w:val="24"/>
        </w:rPr>
        <w:t xml:space="preserve">   月</w:t>
      </w:r>
      <w:r>
        <w:rPr>
          <w:rFonts w:hint="eastAsia" w:ascii="宋体" w:hAnsi="宋体"/>
          <w:kern w:val="0"/>
          <w:sz w:val="24"/>
          <w:szCs w:val="24"/>
        </w:rPr>
        <w:t xml:space="preserve"> </w:t>
      </w:r>
      <w:r>
        <w:rPr>
          <w:rFonts w:ascii="宋体" w:hAnsi="宋体"/>
          <w:kern w:val="0"/>
          <w:sz w:val="24"/>
          <w:szCs w:val="24"/>
        </w:rPr>
        <w:t xml:space="preserve">   日</w:t>
      </w:r>
    </w:p>
    <w:p>
      <w:pPr>
        <w:spacing w:before="41" w:line="219" w:lineRule="auto"/>
        <w:ind w:left="0" w:leftChars="0" w:firstLine="0" w:firstLineChars="0"/>
        <w:rPr>
          <w:rFonts w:ascii="宋体" w:hAnsi="宋体" w:eastAsia="宋体" w:cs="宋体"/>
          <w:b/>
          <w:bCs/>
          <w:sz w:val="21"/>
          <w:szCs w:val="21"/>
        </w:rPr>
      </w:pPr>
      <w:r>
        <w:rPr>
          <w:rFonts w:hint="eastAsia" w:ascii="宋体" w:hAnsi="宋体"/>
          <w:sz w:val="24"/>
          <w:szCs w:val="24"/>
        </w:rPr>
        <w:br w:type="page"/>
      </w:r>
      <w:r>
        <w:rPr>
          <w:rFonts w:ascii="宋体" w:hAnsi="宋体" w:eastAsia="宋体" w:cs="宋体"/>
          <w:b/>
          <w:bCs/>
          <w:spacing w:val="-7"/>
          <w:sz w:val="21"/>
          <w:szCs w:val="21"/>
        </w:rPr>
        <w:t>附件3</w:t>
      </w:r>
    </w:p>
    <w:p>
      <w:pPr>
        <w:spacing w:before="90" w:line="218" w:lineRule="auto"/>
        <w:ind w:left="0" w:leftChars="0" w:firstLine="0" w:firstLineChars="0"/>
        <w:jc w:val="center"/>
        <w:rPr>
          <w:rFonts w:ascii="宋体" w:hAnsi="宋体" w:eastAsia="宋体" w:cs="宋体"/>
          <w:sz w:val="36"/>
          <w:szCs w:val="36"/>
        </w:rPr>
      </w:pPr>
      <w:r>
        <w:rPr>
          <w:rFonts w:ascii="宋体" w:hAnsi="宋体" w:eastAsia="宋体" w:cs="宋体"/>
          <w:b/>
          <w:bCs/>
          <w:spacing w:val="-7"/>
          <w:sz w:val="36"/>
          <w:szCs w:val="36"/>
        </w:rPr>
        <w:t>投标报价表</w:t>
      </w:r>
    </w:p>
    <w:p>
      <w:pPr>
        <w:keepNext w:val="0"/>
        <w:keepLines w:val="0"/>
        <w:pageBreakBefore w:val="0"/>
        <w:widowControl/>
        <w:kinsoku/>
        <w:wordWrap/>
        <w:overflowPunct/>
        <w:topLinePunct w:val="0"/>
        <w:autoSpaceDE/>
        <w:autoSpaceDN/>
        <w:bidi w:val="0"/>
        <w:adjustRightInd/>
        <w:snapToGrid/>
        <w:spacing w:line="324" w:lineRule="auto"/>
        <w:ind w:left="0" w:leftChars="0" w:firstLine="0" w:firstLineChars="0"/>
        <w:textAlignment w:val="auto"/>
        <w:rPr>
          <w:rFonts w:ascii="宋体" w:hAnsi="宋体" w:eastAsia="宋体" w:cs="宋体"/>
          <w:spacing w:val="0"/>
          <w:sz w:val="24"/>
          <w:szCs w:val="24"/>
        </w:rPr>
      </w:pPr>
      <w:r>
        <w:rPr>
          <w:rFonts w:ascii="宋体" w:hAnsi="宋体" w:eastAsia="宋体" w:cs="宋体"/>
          <w:spacing w:val="0"/>
          <w:sz w:val="24"/>
          <w:szCs w:val="24"/>
        </w:rPr>
        <w:t>江苏省水利建设工程有限公</w:t>
      </w:r>
      <w:r>
        <w:rPr>
          <w:rFonts w:hint="eastAsia" w:ascii="宋体" w:hAnsi="宋体" w:cs="宋体"/>
          <w:spacing w:val="0"/>
          <w:sz w:val="24"/>
          <w:szCs w:val="24"/>
          <w:lang w:val="en-US" w:eastAsia="zh-CN"/>
        </w:rPr>
        <w:t>司</w:t>
      </w:r>
      <w:r>
        <w:rPr>
          <w:rFonts w:ascii="宋体" w:hAnsi="宋体" w:eastAsia="宋体" w:cs="宋体"/>
          <w:spacing w:val="0"/>
          <w:sz w:val="24"/>
          <w:szCs w:val="24"/>
        </w:rPr>
        <w:t>：</w:t>
      </w:r>
    </w:p>
    <w:p>
      <w:pPr>
        <w:keepNext w:val="0"/>
        <w:keepLines w:val="0"/>
        <w:pageBreakBefore w:val="0"/>
        <w:widowControl/>
        <w:kinsoku/>
        <w:wordWrap/>
        <w:overflowPunct/>
        <w:topLinePunct w:val="0"/>
        <w:autoSpaceDE/>
        <w:autoSpaceDN/>
        <w:bidi w:val="0"/>
        <w:adjustRightInd/>
        <w:snapToGrid/>
        <w:spacing w:line="324" w:lineRule="auto"/>
        <w:ind w:left="22" w:leftChars="9" w:firstLine="720" w:firstLineChars="300"/>
        <w:textAlignment w:val="auto"/>
        <w:rPr>
          <w:rFonts w:hint="eastAsia" w:ascii="宋体" w:hAnsi="宋体"/>
          <w:color w:val="000000"/>
          <w:szCs w:val="24"/>
        </w:rPr>
      </w:pPr>
      <w:r>
        <w:rPr>
          <w:rFonts w:hint="eastAsia" w:ascii="宋体" w:hAnsi="宋体"/>
          <w:color w:val="000000"/>
          <w:szCs w:val="24"/>
        </w:rPr>
        <w:t>我单位拟向贵公司供应</w:t>
      </w:r>
      <w:r>
        <w:rPr>
          <w:rFonts w:hint="eastAsia" w:ascii="Times New Roman" w:hAnsi="Times New Roman" w:eastAsia="宋体" w:cs="Times New Roman"/>
          <w:b/>
          <w:bCs/>
          <w:color w:val="000000"/>
          <w:kern w:val="0"/>
          <w:sz w:val="24"/>
          <w:szCs w:val="21"/>
          <w:u w:val="single"/>
        </w:rPr>
        <w:t>洪泽湖周边滞洪区近期建设工程（泗洪县）施工16标</w:t>
      </w:r>
      <w:r>
        <w:rPr>
          <w:rFonts w:hint="eastAsia" w:ascii="宋体" w:hAnsi="宋体"/>
          <w:color w:val="000000"/>
          <w:szCs w:val="24"/>
        </w:rPr>
        <w:t>所用的钢材，所供钢材品牌为</w:t>
      </w:r>
      <w:r>
        <w:rPr>
          <w:rFonts w:hint="eastAsia" w:ascii="宋体" w:hAnsi="宋体"/>
          <w:color w:val="000000"/>
          <w:szCs w:val="24"/>
          <w:u w:val="single"/>
        </w:rPr>
        <w:t xml:space="preserve">    </w:t>
      </w:r>
      <w:r>
        <w:rPr>
          <w:rFonts w:hint="eastAsia" w:ascii="宋体" w:hAnsi="宋体"/>
          <w:color w:val="000000"/>
          <w:szCs w:val="24"/>
          <w:u w:val="single"/>
          <w:lang w:val="en-US" w:eastAsia="zh-CN"/>
        </w:rPr>
        <w:t xml:space="preserve">  </w:t>
      </w:r>
      <w:r>
        <w:rPr>
          <w:rFonts w:hint="eastAsia" w:ascii="宋体" w:hAnsi="宋体"/>
          <w:color w:val="000000"/>
          <w:szCs w:val="24"/>
          <w:u w:val="single"/>
        </w:rPr>
        <w:t xml:space="preserve">  </w:t>
      </w:r>
      <w:r>
        <w:rPr>
          <w:rFonts w:hint="eastAsia" w:ascii="宋体" w:hAnsi="宋体"/>
          <w:color w:val="000000"/>
          <w:szCs w:val="24"/>
        </w:rPr>
        <w:t>（</w:t>
      </w:r>
      <w:r>
        <w:rPr>
          <w:rFonts w:hint="eastAsia" w:ascii="宋体" w:hAnsi="宋体"/>
          <w:color w:val="000000"/>
          <w:szCs w:val="24"/>
          <w:lang w:val="en-US" w:eastAsia="zh-CN"/>
        </w:rPr>
        <w:t>必填，仅限于</w:t>
      </w:r>
      <w:r>
        <w:rPr>
          <w:rFonts w:hint="eastAsia" w:ascii="宋体" w:hAnsi="宋体"/>
          <w:b w:val="0"/>
          <w:bCs w:val="0"/>
          <w:color w:val="000000"/>
          <w:kern w:val="2"/>
          <w:szCs w:val="24"/>
        </w:rPr>
        <w:t>联鑫黄海、江苏鸿泰、</w:t>
      </w:r>
      <w:r>
        <w:rPr>
          <w:rFonts w:hint="eastAsia" w:ascii="宋体" w:hAnsi="宋体"/>
          <w:b w:val="0"/>
          <w:bCs w:val="0"/>
          <w:kern w:val="2"/>
          <w:szCs w:val="24"/>
        </w:rPr>
        <w:t>安徽</w:t>
      </w:r>
      <w:r>
        <w:rPr>
          <w:rFonts w:hint="eastAsia" w:ascii="宋体" w:hAnsi="宋体"/>
          <w:b w:val="0"/>
          <w:bCs w:val="0"/>
          <w:color w:val="000000"/>
          <w:kern w:val="2"/>
          <w:szCs w:val="24"/>
        </w:rPr>
        <w:t>富鑫、连云港兴鑫</w:t>
      </w:r>
      <w:r>
        <w:rPr>
          <w:rFonts w:hint="eastAsia" w:ascii="宋体" w:hAnsi="宋体"/>
          <w:color w:val="000000"/>
          <w:szCs w:val="21"/>
          <w:lang w:val="en-US" w:eastAsia="zh-CN"/>
        </w:rPr>
        <w:t>等品牌</w:t>
      </w:r>
      <w:r>
        <w:rPr>
          <w:rFonts w:hint="eastAsia" w:ascii="宋体" w:hAnsi="宋体"/>
          <w:color w:val="000000"/>
          <w:kern w:val="2"/>
          <w:szCs w:val="24"/>
        </w:rPr>
        <w:t>）</w:t>
      </w:r>
      <w:r>
        <w:rPr>
          <w:rFonts w:hint="eastAsia" w:ascii="宋体" w:hAnsi="宋体"/>
          <w:color w:val="000000"/>
          <w:szCs w:val="24"/>
        </w:rPr>
        <w:t>，具体规格和价格如下：</w:t>
      </w:r>
    </w:p>
    <w:tbl>
      <w:tblPr>
        <w:tblStyle w:val="11"/>
        <w:tblW w:w="9559" w:type="dxa"/>
        <w:tblInd w:w="93" w:type="dxa"/>
        <w:tblLayout w:type="fixed"/>
        <w:tblCellMar>
          <w:top w:w="0" w:type="dxa"/>
          <w:left w:w="23" w:type="dxa"/>
          <w:bottom w:w="0" w:type="dxa"/>
          <w:right w:w="23" w:type="dxa"/>
        </w:tblCellMar>
      </w:tblPr>
      <w:tblGrid>
        <w:gridCol w:w="1607"/>
        <w:gridCol w:w="2400"/>
        <w:gridCol w:w="625"/>
        <w:gridCol w:w="811"/>
        <w:gridCol w:w="1150"/>
        <w:gridCol w:w="1363"/>
        <w:gridCol w:w="1603"/>
      </w:tblGrid>
      <w:tr>
        <w:tblPrEx>
          <w:tblCellMar>
            <w:top w:w="0" w:type="dxa"/>
            <w:left w:w="23" w:type="dxa"/>
            <w:bottom w:w="0" w:type="dxa"/>
            <w:right w:w="23" w:type="dxa"/>
          </w:tblCellMar>
        </w:tblPrEx>
        <w:trPr>
          <w:trHeight w:val="595" w:hRule="atLeast"/>
        </w:trPr>
        <w:tc>
          <w:tcPr>
            <w:tcW w:w="1607"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0" w:firstLineChars="0"/>
              <w:jc w:val="center"/>
              <w:textAlignment w:val="center"/>
              <w:rPr>
                <w:szCs w:val="24"/>
              </w:rPr>
            </w:pPr>
            <w:r>
              <w:rPr>
                <w:szCs w:val="24"/>
                <w:lang w:bidi="ar"/>
              </w:rPr>
              <w:t>品名</w:t>
            </w:r>
          </w:p>
        </w:tc>
        <w:tc>
          <w:tcPr>
            <w:tcW w:w="2400"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0" w:firstLineChars="0"/>
              <w:jc w:val="center"/>
              <w:textAlignment w:val="center"/>
              <w:rPr>
                <w:szCs w:val="24"/>
              </w:rPr>
            </w:pPr>
            <w:r>
              <w:rPr>
                <w:szCs w:val="24"/>
                <w:lang w:bidi="ar"/>
              </w:rPr>
              <w:t>规格</w:t>
            </w:r>
          </w:p>
        </w:tc>
        <w:tc>
          <w:tcPr>
            <w:tcW w:w="625"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0" w:firstLineChars="0"/>
              <w:jc w:val="center"/>
              <w:textAlignment w:val="center"/>
              <w:rPr>
                <w:szCs w:val="24"/>
              </w:rPr>
            </w:pPr>
            <w:r>
              <w:rPr>
                <w:szCs w:val="24"/>
                <w:lang w:bidi="ar"/>
              </w:rPr>
              <w:t>单位</w:t>
            </w:r>
          </w:p>
        </w:tc>
        <w:tc>
          <w:tcPr>
            <w:tcW w:w="811"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0" w:firstLineChars="0"/>
              <w:jc w:val="center"/>
              <w:textAlignment w:val="center"/>
              <w:rPr>
                <w:szCs w:val="24"/>
                <w:lang w:bidi="ar"/>
              </w:rPr>
            </w:pPr>
            <w:r>
              <w:rPr>
                <w:szCs w:val="24"/>
                <w:lang w:bidi="ar"/>
              </w:rPr>
              <w:t>暂定</w:t>
            </w:r>
          </w:p>
          <w:p>
            <w:pPr>
              <w:spacing w:line="280" w:lineRule="exact"/>
              <w:ind w:firstLine="0" w:firstLineChars="0"/>
              <w:jc w:val="center"/>
              <w:textAlignment w:val="center"/>
              <w:rPr>
                <w:szCs w:val="24"/>
              </w:rPr>
            </w:pPr>
            <w:r>
              <w:rPr>
                <w:szCs w:val="24"/>
                <w:lang w:bidi="ar"/>
              </w:rPr>
              <w:t>数量</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0" w:firstLineChars="0"/>
              <w:jc w:val="center"/>
              <w:textAlignment w:val="center"/>
              <w:rPr>
                <w:szCs w:val="24"/>
                <w:lang w:bidi="ar"/>
              </w:rPr>
            </w:pPr>
            <w:r>
              <w:rPr>
                <w:szCs w:val="24"/>
                <w:lang w:bidi="ar"/>
              </w:rPr>
              <w:t>基准价</w:t>
            </w:r>
          </w:p>
          <w:p>
            <w:pPr>
              <w:spacing w:line="280" w:lineRule="exact"/>
              <w:ind w:firstLine="0" w:firstLineChars="0"/>
              <w:jc w:val="center"/>
              <w:textAlignment w:val="center"/>
              <w:rPr>
                <w:szCs w:val="24"/>
                <w:lang w:bidi="ar"/>
              </w:rPr>
            </w:pPr>
            <w:r>
              <w:rPr>
                <w:szCs w:val="24"/>
                <w:lang w:bidi="ar"/>
              </w:rPr>
              <w:t>品牌</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0" w:firstLineChars="0"/>
              <w:jc w:val="center"/>
              <w:textAlignment w:val="center"/>
              <w:rPr>
                <w:szCs w:val="24"/>
              </w:rPr>
            </w:pPr>
            <w:r>
              <w:rPr>
                <w:rFonts w:hint="eastAsia"/>
                <w:szCs w:val="24"/>
                <w:lang w:val="en-US" w:eastAsia="zh-CN" w:bidi="ar"/>
              </w:rPr>
              <w:t>4月16日</w:t>
            </w:r>
            <w:r>
              <w:rPr>
                <w:szCs w:val="24"/>
                <w:lang w:bidi="ar"/>
              </w:rPr>
              <w:t>基准价（元/吨）</w:t>
            </w:r>
          </w:p>
        </w:tc>
        <w:tc>
          <w:tcPr>
            <w:tcW w:w="1603"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0" w:firstLineChars="0"/>
              <w:jc w:val="center"/>
              <w:textAlignment w:val="center"/>
              <w:rPr>
                <w:rStyle w:val="26"/>
                <w:rFonts w:hint="default" w:ascii="Times New Roman" w:hAnsi="Times New Roman" w:cs="Times New Roman"/>
                <w:color w:val="auto"/>
                <w:sz w:val="24"/>
                <w:szCs w:val="24"/>
                <w:lang w:bidi="ar"/>
              </w:rPr>
            </w:pPr>
            <w:r>
              <w:rPr>
                <w:rStyle w:val="26"/>
                <w:rFonts w:hint="default" w:ascii="Times New Roman" w:hAnsi="Times New Roman" w:cs="Times New Roman"/>
                <w:color w:val="auto"/>
                <w:sz w:val="24"/>
                <w:szCs w:val="24"/>
                <w:lang w:bidi="ar"/>
              </w:rPr>
              <w:t>上下（±）浮动</w:t>
            </w:r>
          </w:p>
          <w:p>
            <w:pPr>
              <w:spacing w:line="280" w:lineRule="exact"/>
              <w:ind w:firstLine="0" w:firstLineChars="0"/>
              <w:jc w:val="center"/>
              <w:textAlignment w:val="center"/>
              <w:rPr>
                <w:szCs w:val="24"/>
              </w:rPr>
            </w:pPr>
            <w:r>
              <w:rPr>
                <w:rStyle w:val="26"/>
                <w:rFonts w:hint="default" w:ascii="Times New Roman" w:hAnsi="Times New Roman" w:cs="Times New Roman"/>
                <w:color w:val="auto"/>
                <w:sz w:val="24"/>
                <w:szCs w:val="24"/>
                <w:lang w:bidi="ar"/>
              </w:rPr>
              <w:t>金额（元/吨）</w:t>
            </w:r>
          </w:p>
        </w:tc>
      </w:tr>
      <w:tr>
        <w:trPr>
          <w:trHeight w:val="454" w:hRule="atLeast"/>
        </w:trPr>
        <w:tc>
          <w:tcPr>
            <w:tcW w:w="160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themeColor="text1"/>
                <w:spacing w:val="0"/>
                <w:sz w:val="24"/>
                <w:szCs w:val="24"/>
                <w14:textFill>
                  <w14:solidFill>
                    <w14:schemeClr w14:val="tx1"/>
                  </w14:solidFill>
                </w14:textFill>
              </w:rPr>
              <w:t>热轧</w:t>
            </w:r>
            <w:r>
              <w:rPr>
                <w:rFonts w:hint="default" w:ascii="Times New Roman" w:hAnsi="Times New Roman" w:eastAsia="宋体" w:cs="Times New Roman"/>
                <w:color w:val="000000" w:themeColor="text1"/>
                <w:spacing w:val="0"/>
                <w:sz w:val="24"/>
                <w:szCs w:val="24"/>
                <w:lang w:val="en-US" w:eastAsia="zh-CN"/>
                <w14:textFill>
                  <w14:solidFill>
                    <w14:schemeClr w14:val="tx1"/>
                  </w14:solidFill>
                </w14:textFill>
              </w:rPr>
              <w:t>光圆</w:t>
            </w:r>
            <w:r>
              <w:rPr>
                <w:rFonts w:hint="default" w:ascii="Times New Roman" w:hAnsi="Times New Roman" w:eastAsia="宋体" w:cs="Times New Roman"/>
                <w:color w:val="000000" w:themeColor="text1"/>
                <w:spacing w:val="0"/>
                <w:sz w:val="24"/>
                <w:szCs w:val="24"/>
                <w14:textFill>
                  <w14:solidFill>
                    <w14:schemeClr w14:val="tx1"/>
                  </w14:solidFill>
                </w14:textFill>
              </w:rPr>
              <w:t>钢筋</w:t>
            </w:r>
          </w:p>
        </w:tc>
        <w:tc>
          <w:tcPr>
            <w:tcW w:w="2400" w:type="dxa"/>
            <w:tcBorders>
              <w:top w:val="single" w:color="000000" w:sz="4" w:space="0"/>
              <w:left w:val="single" w:color="000000" w:sz="4" w:space="0"/>
              <w:bottom w:val="single" w:color="000000" w:sz="4" w:space="0"/>
              <w:right w:val="single" w:color="000000" w:sz="4" w:space="0"/>
            </w:tcBorders>
            <w:noWrap w:val="0"/>
            <w:vAlign w:val="center"/>
          </w:tcPr>
          <w:p>
            <w:pPr>
              <w:pStyle w:val="6"/>
              <w:spacing w:line="240" w:lineRule="atLeast"/>
              <w:ind w:firstLine="0" w:firstLineChars="0"/>
              <w:jc w:val="center"/>
              <w:rPr>
                <w:rFonts w:ascii="Times New Roman" w:hAnsi="Times New Roman" w:cs="Times New Roman"/>
                <w:color w:val="000000"/>
                <w:sz w:val="24"/>
                <w:szCs w:val="24"/>
              </w:rPr>
            </w:pPr>
            <w:r>
              <w:rPr>
                <w:rFonts w:hint="default" w:ascii="Times New Roman" w:hAnsi="Times New Roman" w:eastAsia="宋体" w:cs="Times New Roman"/>
                <w:color w:val="000000"/>
                <w:sz w:val="24"/>
                <w:szCs w:val="24"/>
              </w:rPr>
              <w:t>H</w:t>
            </w:r>
            <w:r>
              <w:rPr>
                <w:rFonts w:hint="eastAsia" w:ascii="Times New Roman" w:hAnsi="Times New Roman" w:eastAsia="宋体" w:cs="Times New Roman"/>
                <w:color w:val="000000"/>
                <w:sz w:val="24"/>
                <w:szCs w:val="24"/>
                <w:lang w:val="en-US" w:eastAsia="zh-CN"/>
              </w:rPr>
              <w:t>PB300</w:t>
            </w:r>
            <w:r>
              <w:rPr>
                <w:rFonts w:hint="default" w:ascii="Times New Roman" w:hAnsi="Times New Roman" w:eastAsia="宋体" w:cs="Times New Roman"/>
                <w:color w:val="000000"/>
                <w:sz w:val="24"/>
                <w:szCs w:val="24"/>
              </w:rPr>
              <w:t>直径</w:t>
            </w:r>
            <w:r>
              <w:rPr>
                <w:rFonts w:hint="eastAsia" w:ascii="Times New Roman" w:hAnsi="Times New Roman" w:eastAsia="宋体" w:cs="Times New Roman"/>
                <w:color w:val="000000"/>
                <w:sz w:val="24"/>
                <w:szCs w:val="24"/>
                <w:lang w:val="en-US" w:eastAsia="zh-CN"/>
              </w:rPr>
              <w:t>10</w:t>
            </w:r>
            <w:r>
              <w:rPr>
                <w:rFonts w:hint="default" w:ascii="Times New Roman" w:hAnsi="Times New Roman" w:eastAsia="宋体" w:cs="Times New Roman"/>
                <w:color w:val="000000"/>
                <w:sz w:val="24"/>
                <w:szCs w:val="24"/>
              </w:rPr>
              <w:t>mm</w:t>
            </w:r>
          </w:p>
        </w:tc>
        <w:tc>
          <w:tcPr>
            <w:tcW w:w="625" w:type="dxa"/>
            <w:tcBorders>
              <w:top w:val="single" w:color="000000" w:sz="4" w:space="0"/>
              <w:left w:val="single" w:color="000000" w:sz="4" w:space="0"/>
              <w:bottom w:val="single" w:color="000000" w:sz="4" w:space="0"/>
              <w:right w:val="single" w:color="000000" w:sz="4" w:space="0"/>
            </w:tcBorders>
            <w:noWrap/>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sz w:val="24"/>
                <w:szCs w:val="24"/>
              </w:rPr>
              <w:t>t</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ind w:firstLine="0" w:firstLineChars="0"/>
              <w:jc w:val="center"/>
              <w:rPr>
                <w:rFonts w:hint="default" w:ascii="Times New Roman" w:hAnsi="Times New Roman" w:eastAsia="宋体" w:cs="Times New Roman"/>
                <w:color w:val="000000" w:themeColor="text1"/>
                <w:spacing w:val="0"/>
                <w:sz w:val="21"/>
                <w:szCs w:val="21"/>
                <w:lang w:val="en-US" w:eastAsia="zh-CN" w:bidi="ar-SA"/>
                <w14:textFill>
                  <w14:solidFill>
                    <w14:schemeClr w14:val="tx1"/>
                  </w14:solidFill>
                </w14:textFill>
              </w:rPr>
            </w:pPr>
            <w:r>
              <w:rPr>
                <w:rFonts w:hint="default" w:ascii="Times New Roman" w:hAnsi="Times New Roman" w:eastAsia="等线" w:cs="Times New Roman"/>
                <w:color w:val="000000"/>
                <w:spacing w:val="0"/>
                <w:sz w:val="22"/>
                <w:szCs w:val="22"/>
              </w:rPr>
              <w:t>20</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default" w:eastAsia="宋体"/>
                <w:szCs w:val="24"/>
                <w:lang w:val="en-US" w:eastAsia="zh-CN" w:bidi="ar"/>
              </w:rPr>
            </w:pPr>
            <w:r>
              <w:rPr>
                <w:rFonts w:hint="default" w:eastAsia="宋体"/>
                <w:szCs w:val="24"/>
                <w:lang w:val="en-US" w:eastAsia="zh-CN" w:bidi="ar"/>
              </w:rPr>
              <w:t>江苏镔鑫</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default" w:eastAsia="宋体"/>
                <w:szCs w:val="24"/>
                <w:lang w:val="en-US" w:eastAsia="zh-CN" w:bidi="ar"/>
              </w:rPr>
            </w:pPr>
            <w:r>
              <w:rPr>
                <w:rFonts w:hint="eastAsia" w:eastAsia="宋体"/>
                <w:szCs w:val="24"/>
                <w:lang w:val="en-US" w:eastAsia="zh-CN" w:bidi="ar"/>
              </w:rPr>
              <w:t>3280</w:t>
            </w:r>
          </w:p>
        </w:tc>
        <w:tc>
          <w:tcPr>
            <w:tcW w:w="1603" w:type="dxa"/>
            <w:vMerge w:val="restart"/>
            <w:tcBorders>
              <w:top w:val="single" w:color="000000" w:sz="4" w:space="0"/>
              <w:left w:val="single" w:color="000000" w:sz="4" w:space="0"/>
              <w:right w:val="single" w:color="000000" w:sz="4" w:space="0"/>
            </w:tcBorders>
            <w:noWrap/>
            <w:vAlign w:val="center"/>
          </w:tcPr>
          <w:p>
            <w:pPr>
              <w:spacing w:line="320" w:lineRule="exact"/>
              <w:ind w:firstLine="0" w:firstLineChars="0"/>
              <w:jc w:val="center"/>
              <w:rPr>
                <w:szCs w:val="24"/>
              </w:rPr>
            </w:pPr>
          </w:p>
        </w:tc>
      </w:tr>
      <w:tr>
        <w:tblPrEx>
          <w:tblCellMar>
            <w:top w:w="0" w:type="dxa"/>
            <w:left w:w="23" w:type="dxa"/>
            <w:bottom w:w="0" w:type="dxa"/>
            <w:right w:w="23" w:type="dxa"/>
          </w:tblCellMar>
        </w:tblPrEx>
        <w:trPr>
          <w:trHeight w:val="454" w:hRule="atLeast"/>
        </w:trPr>
        <w:tc>
          <w:tcPr>
            <w:tcW w:w="160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sz w:val="24"/>
                <w:szCs w:val="24"/>
              </w:rPr>
              <w:t>热轧带肋钢筋</w:t>
            </w:r>
          </w:p>
        </w:tc>
        <w:tc>
          <w:tcPr>
            <w:tcW w:w="2400" w:type="dxa"/>
            <w:tcBorders>
              <w:top w:val="single" w:color="000000" w:sz="4" w:space="0"/>
              <w:left w:val="single" w:color="000000" w:sz="4" w:space="0"/>
              <w:bottom w:val="single" w:color="000000" w:sz="4" w:space="0"/>
              <w:right w:val="single" w:color="000000" w:sz="4" w:space="0"/>
            </w:tcBorders>
            <w:noWrap w:val="0"/>
            <w:vAlign w:val="center"/>
          </w:tcPr>
          <w:p>
            <w:pPr>
              <w:pStyle w:val="6"/>
              <w:spacing w:line="240" w:lineRule="atLeast"/>
              <w:ind w:firstLine="0" w:firstLineChars="0"/>
              <w:jc w:val="center"/>
              <w:rPr>
                <w:rFonts w:ascii="Times New Roman" w:hAnsi="Times New Roman" w:cs="Times New Roman"/>
                <w:color w:val="000000"/>
                <w:sz w:val="24"/>
                <w:szCs w:val="24"/>
              </w:rPr>
            </w:pPr>
            <w:r>
              <w:rPr>
                <w:rFonts w:hint="default" w:ascii="Times New Roman" w:hAnsi="Times New Roman" w:eastAsia="宋体" w:cs="Times New Roman"/>
                <w:color w:val="000000"/>
                <w:sz w:val="24"/>
                <w:szCs w:val="24"/>
              </w:rPr>
              <w:t>HRB400直径10mm</w:t>
            </w:r>
          </w:p>
        </w:tc>
        <w:tc>
          <w:tcPr>
            <w:tcW w:w="625" w:type="dxa"/>
            <w:tcBorders>
              <w:top w:val="single" w:color="000000" w:sz="4" w:space="0"/>
              <w:left w:val="single" w:color="000000" w:sz="4" w:space="0"/>
              <w:bottom w:val="single" w:color="000000" w:sz="4" w:space="0"/>
              <w:right w:val="single" w:color="000000" w:sz="4" w:space="0"/>
            </w:tcBorders>
            <w:noWrap/>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sz w:val="24"/>
                <w:szCs w:val="24"/>
              </w:rPr>
              <w:t>t</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ind w:firstLine="0" w:firstLineChars="0"/>
              <w:jc w:val="center"/>
              <w:rPr>
                <w:rFonts w:hint="default" w:ascii="Times New Roman" w:hAnsi="Times New Roman" w:eastAsia="宋体" w:cs="Times New Roman"/>
                <w:color w:val="000000" w:themeColor="text1"/>
                <w:spacing w:val="0"/>
                <w:sz w:val="21"/>
                <w:szCs w:val="21"/>
                <w:lang w:val="en-US" w:eastAsia="zh-CN" w:bidi="ar-SA"/>
                <w14:textFill>
                  <w14:solidFill>
                    <w14:schemeClr w14:val="tx1"/>
                  </w14:solidFill>
                </w14:textFill>
              </w:rPr>
            </w:pPr>
            <w:r>
              <w:rPr>
                <w:rFonts w:hint="default" w:ascii="Times New Roman" w:hAnsi="Times New Roman" w:eastAsia="等线" w:cs="Times New Roman"/>
                <w:color w:val="000000"/>
                <w:spacing w:val="0"/>
                <w:sz w:val="22"/>
                <w:szCs w:val="22"/>
              </w:rPr>
              <w:t>2</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eastAsia" w:ascii="Times New Roman" w:hAnsi="Times New Roman" w:eastAsia="宋体" w:cs="Times New Roman"/>
                <w:szCs w:val="24"/>
                <w:lang w:val="en-US" w:eastAsia="zh-CN" w:bidi="ar"/>
              </w:rPr>
            </w:pPr>
            <w:r>
              <w:rPr>
                <w:rFonts w:hint="eastAsia" w:eastAsia="宋体"/>
                <w:lang w:val="en-US" w:eastAsia="zh-CN"/>
              </w:rPr>
              <w:t>日照</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default" w:eastAsia="宋体"/>
                <w:szCs w:val="24"/>
                <w:lang w:val="en-US" w:eastAsia="zh-CN" w:bidi="ar"/>
              </w:rPr>
            </w:pPr>
            <w:r>
              <w:rPr>
                <w:rFonts w:hint="eastAsia" w:eastAsia="宋体"/>
                <w:szCs w:val="24"/>
                <w:lang w:val="en-US" w:eastAsia="zh-CN" w:bidi="ar"/>
              </w:rPr>
              <w:t>3130</w:t>
            </w:r>
          </w:p>
        </w:tc>
        <w:tc>
          <w:tcPr>
            <w:tcW w:w="1603" w:type="dxa"/>
            <w:vMerge w:val="continue"/>
            <w:tcBorders>
              <w:left w:val="single" w:color="000000" w:sz="4" w:space="0"/>
              <w:right w:val="single" w:color="000000" w:sz="4" w:space="0"/>
            </w:tcBorders>
            <w:noWrap/>
            <w:vAlign w:val="center"/>
          </w:tcPr>
          <w:p>
            <w:pPr>
              <w:spacing w:line="320" w:lineRule="exact"/>
              <w:ind w:firstLine="0" w:firstLineChars="0"/>
              <w:jc w:val="center"/>
              <w:rPr>
                <w:szCs w:val="24"/>
              </w:rPr>
            </w:pPr>
          </w:p>
        </w:tc>
      </w:tr>
      <w:tr>
        <w:tblPrEx>
          <w:tblCellMar>
            <w:top w:w="0" w:type="dxa"/>
            <w:left w:w="23" w:type="dxa"/>
            <w:bottom w:w="0" w:type="dxa"/>
            <w:right w:w="23" w:type="dxa"/>
          </w:tblCellMar>
        </w:tblPrEx>
        <w:trPr>
          <w:trHeight w:val="454" w:hRule="atLeast"/>
        </w:trPr>
        <w:tc>
          <w:tcPr>
            <w:tcW w:w="160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sz w:val="24"/>
                <w:szCs w:val="24"/>
              </w:rPr>
              <w:t>热轧带肋钢筋</w:t>
            </w:r>
          </w:p>
        </w:tc>
        <w:tc>
          <w:tcPr>
            <w:tcW w:w="2400" w:type="dxa"/>
            <w:tcBorders>
              <w:top w:val="single" w:color="000000" w:sz="4" w:space="0"/>
              <w:left w:val="single" w:color="000000" w:sz="4" w:space="0"/>
              <w:bottom w:val="single" w:color="000000" w:sz="4" w:space="0"/>
              <w:right w:val="single" w:color="000000" w:sz="4" w:space="0"/>
            </w:tcBorders>
            <w:noWrap w:val="0"/>
            <w:vAlign w:val="center"/>
          </w:tcPr>
          <w:p>
            <w:pPr>
              <w:pStyle w:val="6"/>
              <w:spacing w:line="240" w:lineRule="atLeast"/>
              <w:ind w:firstLine="0" w:firstLineChars="0"/>
              <w:jc w:val="center"/>
              <w:rPr>
                <w:rFonts w:ascii="Times New Roman" w:hAnsi="Times New Roman" w:cs="Times New Roman"/>
                <w:color w:val="000000"/>
                <w:sz w:val="24"/>
                <w:szCs w:val="24"/>
              </w:rPr>
            </w:pPr>
            <w:r>
              <w:rPr>
                <w:rFonts w:hint="default" w:ascii="Times New Roman" w:hAnsi="Times New Roman" w:eastAsia="宋体" w:cs="Times New Roman"/>
                <w:color w:val="000000"/>
                <w:sz w:val="24"/>
                <w:szCs w:val="24"/>
              </w:rPr>
              <w:t>HRB400直径12mm</w:t>
            </w:r>
          </w:p>
        </w:tc>
        <w:tc>
          <w:tcPr>
            <w:tcW w:w="625" w:type="dxa"/>
            <w:tcBorders>
              <w:top w:val="single" w:color="000000" w:sz="4" w:space="0"/>
              <w:left w:val="single" w:color="000000" w:sz="4" w:space="0"/>
              <w:bottom w:val="single" w:color="000000" w:sz="4" w:space="0"/>
              <w:right w:val="single" w:color="000000" w:sz="4" w:space="0"/>
            </w:tcBorders>
            <w:noWrap/>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sz w:val="24"/>
                <w:szCs w:val="24"/>
              </w:rPr>
              <w:t>t</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ind w:firstLine="0" w:firstLineChars="0"/>
              <w:jc w:val="center"/>
              <w:rPr>
                <w:rFonts w:hint="default" w:ascii="Times New Roman" w:hAnsi="Times New Roman" w:eastAsia="宋体" w:cs="Times New Roman"/>
                <w:color w:val="000000" w:themeColor="text1"/>
                <w:spacing w:val="0"/>
                <w:sz w:val="21"/>
                <w:szCs w:val="21"/>
                <w:lang w:val="en-US" w:eastAsia="zh-CN" w:bidi="ar-SA"/>
                <w14:textFill>
                  <w14:solidFill>
                    <w14:schemeClr w14:val="tx1"/>
                  </w14:solidFill>
                </w14:textFill>
              </w:rPr>
            </w:pPr>
            <w:r>
              <w:rPr>
                <w:rFonts w:hint="default" w:ascii="Times New Roman" w:hAnsi="Times New Roman" w:eastAsia="等线" w:cs="Times New Roman"/>
                <w:color w:val="000000"/>
                <w:spacing w:val="0"/>
                <w:sz w:val="22"/>
                <w:szCs w:val="22"/>
              </w:rPr>
              <w:t>10</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default" w:ascii="Times New Roman" w:hAnsi="Times New Roman" w:eastAsia="宋体" w:cs="Times New Roman"/>
                <w:szCs w:val="24"/>
                <w:lang w:val="en-US" w:eastAsia="zh-CN" w:bidi="ar"/>
              </w:rPr>
            </w:pPr>
            <w:r>
              <w:rPr>
                <w:rFonts w:hint="eastAsia"/>
              </w:rPr>
              <w:t>安徽富鑫</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default" w:eastAsia="宋体"/>
                <w:szCs w:val="24"/>
                <w:lang w:val="en-US" w:eastAsia="zh-CN" w:bidi="ar"/>
              </w:rPr>
            </w:pPr>
            <w:r>
              <w:rPr>
                <w:rFonts w:hint="eastAsia" w:eastAsia="宋体"/>
                <w:szCs w:val="24"/>
                <w:lang w:val="en-US" w:eastAsia="zh-CN" w:bidi="ar"/>
              </w:rPr>
              <w:t>3130</w:t>
            </w:r>
          </w:p>
        </w:tc>
        <w:tc>
          <w:tcPr>
            <w:tcW w:w="1603" w:type="dxa"/>
            <w:vMerge w:val="continue"/>
            <w:tcBorders>
              <w:left w:val="single" w:color="000000" w:sz="4" w:space="0"/>
              <w:right w:val="single" w:color="000000" w:sz="4" w:space="0"/>
            </w:tcBorders>
            <w:noWrap/>
            <w:vAlign w:val="center"/>
          </w:tcPr>
          <w:p>
            <w:pPr>
              <w:spacing w:line="320" w:lineRule="exact"/>
              <w:ind w:firstLine="0" w:firstLineChars="0"/>
              <w:jc w:val="center"/>
              <w:rPr>
                <w:szCs w:val="24"/>
              </w:rPr>
            </w:pPr>
          </w:p>
        </w:tc>
      </w:tr>
      <w:tr>
        <w:tblPrEx>
          <w:tblCellMar>
            <w:top w:w="0" w:type="dxa"/>
            <w:left w:w="23" w:type="dxa"/>
            <w:bottom w:w="0" w:type="dxa"/>
            <w:right w:w="23" w:type="dxa"/>
          </w:tblCellMar>
        </w:tblPrEx>
        <w:trPr>
          <w:trHeight w:val="454" w:hRule="atLeast"/>
        </w:trPr>
        <w:tc>
          <w:tcPr>
            <w:tcW w:w="160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sz w:val="24"/>
                <w:szCs w:val="24"/>
              </w:rPr>
              <w:t>热轧带肋钢筋</w:t>
            </w:r>
          </w:p>
        </w:tc>
        <w:tc>
          <w:tcPr>
            <w:tcW w:w="2400" w:type="dxa"/>
            <w:tcBorders>
              <w:top w:val="single" w:color="000000" w:sz="4" w:space="0"/>
              <w:left w:val="single" w:color="000000" w:sz="4" w:space="0"/>
              <w:bottom w:val="single" w:color="000000" w:sz="4" w:space="0"/>
              <w:right w:val="single" w:color="000000" w:sz="4" w:space="0"/>
            </w:tcBorders>
            <w:noWrap w:val="0"/>
            <w:vAlign w:val="center"/>
          </w:tcPr>
          <w:p>
            <w:pPr>
              <w:pStyle w:val="6"/>
              <w:spacing w:line="240" w:lineRule="atLeast"/>
              <w:ind w:firstLine="0" w:firstLineChars="0"/>
              <w:jc w:val="center"/>
              <w:rPr>
                <w:rFonts w:ascii="Times New Roman" w:hAnsi="Times New Roman" w:cs="Times New Roman"/>
                <w:color w:val="000000"/>
                <w:sz w:val="24"/>
                <w:szCs w:val="24"/>
              </w:rPr>
            </w:pPr>
            <w:r>
              <w:rPr>
                <w:rFonts w:hint="default" w:ascii="Times New Roman" w:hAnsi="Times New Roman" w:eastAsia="宋体" w:cs="Times New Roman"/>
                <w:color w:val="000000"/>
                <w:sz w:val="24"/>
                <w:szCs w:val="24"/>
              </w:rPr>
              <w:t>HRB400直径14mm</w:t>
            </w:r>
          </w:p>
        </w:tc>
        <w:tc>
          <w:tcPr>
            <w:tcW w:w="625" w:type="dxa"/>
            <w:tcBorders>
              <w:top w:val="single" w:color="000000" w:sz="4" w:space="0"/>
              <w:left w:val="single" w:color="000000" w:sz="4" w:space="0"/>
              <w:bottom w:val="single" w:color="000000" w:sz="4" w:space="0"/>
              <w:right w:val="single" w:color="000000" w:sz="4" w:space="0"/>
            </w:tcBorders>
            <w:noWrap/>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sz w:val="24"/>
                <w:szCs w:val="24"/>
              </w:rPr>
              <w:t>t</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ind w:firstLine="0" w:firstLineChars="0"/>
              <w:jc w:val="center"/>
              <w:rPr>
                <w:rFonts w:hint="default" w:ascii="Times New Roman" w:hAnsi="Times New Roman" w:eastAsia="宋体" w:cs="Times New Roman"/>
                <w:color w:val="000000" w:themeColor="text1"/>
                <w:spacing w:val="0"/>
                <w:sz w:val="21"/>
                <w:szCs w:val="21"/>
                <w:lang w:val="en-US" w:eastAsia="zh-CN" w:bidi="ar-SA"/>
                <w14:textFill>
                  <w14:solidFill>
                    <w14:schemeClr w14:val="tx1"/>
                  </w14:solidFill>
                </w14:textFill>
              </w:rPr>
            </w:pPr>
            <w:r>
              <w:rPr>
                <w:rFonts w:hint="default" w:ascii="Times New Roman" w:hAnsi="Times New Roman" w:eastAsia="等线" w:cs="Times New Roman"/>
                <w:color w:val="000000"/>
                <w:spacing w:val="0"/>
                <w:sz w:val="22"/>
                <w:szCs w:val="22"/>
              </w:rPr>
              <w:t>160</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eastAsia" w:ascii="Times New Roman" w:hAnsi="Times New Roman" w:eastAsia="宋体" w:cs="Times New Roman"/>
                <w:szCs w:val="24"/>
                <w:lang w:val="en-US" w:eastAsia="zh-CN" w:bidi="ar"/>
              </w:rPr>
            </w:pPr>
            <w:r>
              <w:rPr>
                <w:rFonts w:hint="eastAsia"/>
              </w:rPr>
              <w:t>安徽富鑫</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default"/>
                <w:szCs w:val="24"/>
                <w:lang w:val="en-US" w:eastAsia="zh-CN" w:bidi="ar"/>
              </w:rPr>
            </w:pPr>
            <w:r>
              <w:rPr>
                <w:rFonts w:hint="eastAsia"/>
                <w:szCs w:val="24"/>
                <w:lang w:val="en-US" w:eastAsia="zh-CN" w:bidi="ar"/>
              </w:rPr>
              <w:t>3130</w:t>
            </w:r>
          </w:p>
        </w:tc>
        <w:tc>
          <w:tcPr>
            <w:tcW w:w="1603" w:type="dxa"/>
            <w:vMerge w:val="continue"/>
            <w:tcBorders>
              <w:left w:val="single" w:color="000000" w:sz="4" w:space="0"/>
              <w:right w:val="single" w:color="000000" w:sz="4" w:space="0"/>
            </w:tcBorders>
            <w:noWrap/>
            <w:vAlign w:val="center"/>
          </w:tcPr>
          <w:p>
            <w:pPr>
              <w:spacing w:line="320" w:lineRule="exact"/>
              <w:ind w:firstLine="0" w:firstLineChars="0"/>
              <w:jc w:val="center"/>
              <w:rPr>
                <w:szCs w:val="24"/>
              </w:rPr>
            </w:pPr>
          </w:p>
        </w:tc>
      </w:tr>
      <w:tr>
        <w:tblPrEx>
          <w:tblCellMar>
            <w:top w:w="0" w:type="dxa"/>
            <w:left w:w="23" w:type="dxa"/>
            <w:bottom w:w="0" w:type="dxa"/>
            <w:right w:w="23" w:type="dxa"/>
          </w:tblCellMar>
        </w:tblPrEx>
        <w:trPr>
          <w:trHeight w:val="454" w:hRule="atLeast"/>
        </w:trPr>
        <w:tc>
          <w:tcPr>
            <w:tcW w:w="160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sz w:val="24"/>
                <w:szCs w:val="24"/>
              </w:rPr>
              <w:t>热轧带肋钢筋</w:t>
            </w:r>
          </w:p>
        </w:tc>
        <w:tc>
          <w:tcPr>
            <w:tcW w:w="2400" w:type="dxa"/>
            <w:tcBorders>
              <w:top w:val="single" w:color="000000" w:sz="4" w:space="0"/>
              <w:left w:val="single" w:color="000000" w:sz="4" w:space="0"/>
              <w:bottom w:val="single" w:color="000000" w:sz="4" w:space="0"/>
              <w:right w:val="single" w:color="000000" w:sz="4" w:space="0"/>
            </w:tcBorders>
            <w:noWrap w:val="0"/>
            <w:vAlign w:val="center"/>
          </w:tcPr>
          <w:p>
            <w:pPr>
              <w:pStyle w:val="6"/>
              <w:spacing w:line="240" w:lineRule="atLeast"/>
              <w:ind w:firstLine="0" w:firstLineChars="0"/>
              <w:jc w:val="center"/>
              <w:rPr>
                <w:rFonts w:ascii="Times New Roman" w:hAnsi="Times New Roman" w:cs="Times New Roman"/>
                <w:color w:val="000000"/>
                <w:sz w:val="24"/>
                <w:szCs w:val="24"/>
              </w:rPr>
            </w:pPr>
            <w:r>
              <w:rPr>
                <w:rFonts w:hint="default" w:ascii="Times New Roman" w:hAnsi="Times New Roman" w:eastAsia="宋体" w:cs="Times New Roman"/>
                <w:color w:val="000000"/>
                <w:sz w:val="24"/>
                <w:szCs w:val="24"/>
              </w:rPr>
              <w:t>HRB400直径16mm</w:t>
            </w:r>
          </w:p>
        </w:tc>
        <w:tc>
          <w:tcPr>
            <w:tcW w:w="625" w:type="dxa"/>
            <w:tcBorders>
              <w:top w:val="single" w:color="000000" w:sz="4" w:space="0"/>
              <w:left w:val="single" w:color="000000" w:sz="4" w:space="0"/>
              <w:bottom w:val="single" w:color="000000" w:sz="4" w:space="0"/>
              <w:right w:val="single" w:color="000000" w:sz="4" w:space="0"/>
            </w:tcBorders>
            <w:noWrap/>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sz w:val="24"/>
                <w:szCs w:val="24"/>
              </w:rPr>
              <w:t>t</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ind w:firstLine="0" w:firstLineChars="0"/>
              <w:jc w:val="center"/>
              <w:textAlignment w:val="center"/>
              <w:rPr>
                <w:rFonts w:hint="default" w:ascii="Times New Roman" w:hAnsi="Times New Roman" w:eastAsia="宋体" w:cs="Times New Roman"/>
                <w:color w:val="000000" w:themeColor="text1"/>
                <w:spacing w:val="0"/>
                <w:sz w:val="21"/>
                <w:szCs w:val="21"/>
                <w:lang w:val="en-US" w:eastAsia="zh-CN" w:bidi="ar-SA"/>
                <w14:textFill>
                  <w14:solidFill>
                    <w14:schemeClr w14:val="tx1"/>
                  </w14:solidFill>
                </w14:textFill>
              </w:rPr>
            </w:pPr>
            <w:r>
              <w:rPr>
                <w:rFonts w:hint="default" w:ascii="Times New Roman" w:hAnsi="Times New Roman" w:eastAsia="等线" w:cs="Times New Roman"/>
                <w:color w:val="000000"/>
                <w:spacing w:val="0"/>
                <w:sz w:val="22"/>
                <w:szCs w:val="22"/>
              </w:rPr>
              <w:t>160</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eastAsia" w:ascii="Times New Roman" w:hAnsi="Times New Roman" w:eastAsia="宋体" w:cs="Times New Roman"/>
                <w:szCs w:val="24"/>
                <w:lang w:val="en-US" w:eastAsia="zh-CN" w:bidi="ar"/>
              </w:rPr>
            </w:pPr>
            <w:r>
              <w:rPr>
                <w:rFonts w:hint="eastAsia"/>
              </w:rPr>
              <w:t>安徽富鑫</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default"/>
                <w:szCs w:val="24"/>
                <w:lang w:val="en-US" w:eastAsia="zh-CN" w:bidi="ar"/>
              </w:rPr>
            </w:pPr>
            <w:r>
              <w:rPr>
                <w:rFonts w:hint="eastAsia"/>
                <w:szCs w:val="24"/>
                <w:lang w:val="en-US" w:eastAsia="zh-CN" w:bidi="ar"/>
              </w:rPr>
              <w:t>3050</w:t>
            </w:r>
          </w:p>
        </w:tc>
        <w:tc>
          <w:tcPr>
            <w:tcW w:w="1603" w:type="dxa"/>
            <w:vMerge w:val="continue"/>
            <w:tcBorders>
              <w:left w:val="single" w:color="000000" w:sz="4" w:space="0"/>
              <w:right w:val="single" w:color="000000" w:sz="4" w:space="0"/>
            </w:tcBorders>
            <w:noWrap/>
            <w:vAlign w:val="center"/>
          </w:tcPr>
          <w:p>
            <w:pPr>
              <w:spacing w:line="320" w:lineRule="exact"/>
              <w:ind w:firstLine="0" w:firstLineChars="0"/>
              <w:jc w:val="center"/>
              <w:rPr>
                <w:szCs w:val="24"/>
              </w:rPr>
            </w:pPr>
          </w:p>
        </w:tc>
      </w:tr>
      <w:tr>
        <w:tblPrEx>
          <w:tblCellMar>
            <w:top w:w="0" w:type="dxa"/>
            <w:left w:w="23" w:type="dxa"/>
            <w:bottom w:w="0" w:type="dxa"/>
            <w:right w:w="23" w:type="dxa"/>
          </w:tblCellMar>
        </w:tblPrEx>
        <w:trPr>
          <w:trHeight w:val="454" w:hRule="atLeast"/>
        </w:trPr>
        <w:tc>
          <w:tcPr>
            <w:tcW w:w="160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sz w:val="24"/>
                <w:szCs w:val="24"/>
              </w:rPr>
              <w:t>热轧带肋钢筋</w:t>
            </w:r>
          </w:p>
        </w:tc>
        <w:tc>
          <w:tcPr>
            <w:tcW w:w="2400" w:type="dxa"/>
            <w:tcBorders>
              <w:top w:val="single" w:color="000000" w:sz="4" w:space="0"/>
              <w:left w:val="single" w:color="000000" w:sz="4" w:space="0"/>
              <w:bottom w:val="single" w:color="000000" w:sz="4" w:space="0"/>
              <w:right w:val="single" w:color="000000" w:sz="4" w:space="0"/>
            </w:tcBorders>
            <w:noWrap w:val="0"/>
            <w:vAlign w:val="center"/>
          </w:tcPr>
          <w:p>
            <w:pPr>
              <w:pStyle w:val="6"/>
              <w:spacing w:line="240" w:lineRule="atLeast"/>
              <w:ind w:firstLine="0" w:firstLineChars="0"/>
              <w:jc w:val="center"/>
              <w:rPr>
                <w:rFonts w:ascii="Times New Roman" w:hAnsi="Times New Roman" w:cs="Times New Roman"/>
                <w:color w:val="000000"/>
                <w:sz w:val="24"/>
                <w:szCs w:val="24"/>
              </w:rPr>
            </w:pPr>
            <w:r>
              <w:rPr>
                <w:rFonts w:hint="default" w:ascii="Times New Roman" w:hAnsi="Times New Roman" w:eastAsia="宋体" w:cs="Times New Roman"/>
                <w:color w:val="000000"/>
                <w:sz w:val="24"/>
                <w:szCs w:val="24"/>
              </w:rPr>
              <w:t>HRB400直径18mm</w:t>
            </w:r>
          </w:p>
        </w:tc>
        <w:tc>
          <w:tcPr>
            <w:tcW w:w="625" w:type="dxa"/>
            <w:tcBorders>
              <w:top w:val="single" w:color="000000" w:sz="4" w:space="0"/>
              <w:left w:val="single" w:color="000000" w:sz="4" w:space="0"/>
              <w:bottom w:val="single" w:color="000000" w:sz="4" w:space="0"/>
              <w:right w:val="single" w:color="000000" w:sz="4" w:space="0"/>
            </w:tcBorders>
            <w:noWrap/>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sz w:val="24"/>
                <w:szCs w:val="24"/>
              </w:rPr>
              <w:t>t</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ind w:firstLine="0" w:firstLineChars="0"/>
              <w:jc w:val="center"/>
              <w:textAlignment w:val="center"/>
              <w:rPr>
                <w:rFonts w:hint="default" w:ascii="Times New Roman" w:hAnsi="Times New Roman" w:eastAsia="宋体" w:cs="Times New Roman"/>
                <w:color w:val="000000" w:themeColor="text1"/>
                <w:spacing w:val="0"/>
                <w:sz w:val="21"/>
                <w:szCs w:val="21"/>
                <w:lang w:val="en-US" w:eastAsia="zh-CN" w:bidi="ar-SA"/>
                <w14:textFill>
                  <w14:solidFill>
                    <w14:schemeClr w14:val="tx1"/>
                  </w14:solidFill>
                </w14:textFill>
              </w:rPr>
            </w:pPr>
            <w:r>
              <w:rPr>
                <w:rFonts w:hint="default" w:ascii="Times New Roman" w:hAnsi="Times New Roman" w:eastAsia="等线" w:cs="Times New Roman"/>
                <w:color w:val="000000"/>
                <w:spacing w:val="0"/>
                <w:sz w:val="22"/>
                <w:szCs w:val="22"/>
              </w:rPr>
              <w:t>4</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eastAsia" w:ascii="Times New Roman" w:hAnsi="Times New Roman" w:eastAsia="宋体" w:cs="Times New Roman"/>
                <w:szCs w:val="24"/>
                <w:lang w:val="en-US" w:eastAsia="zh-CN" w:bidi="ar"/>
              </w:rPr>
            </w:pPr>
            <w:r>
              <w:rPr>
                <w:rFonts w:hint="eastAsia"/>
              </w:rPr>
              <w:t>安徽富鑫</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eastAsia"/>
                <w:szCs w:val="24"/>
                <w:lang w:val="en-US" w:eastAsia="zh-CN" w:bidi="ar"/>
              </w:rPr>
            </w:pPr>
            <w:r>
              <w:rPr>
                <w:rFonts w:hint="eastAsia"/>
                <w:szCs w:val="24"/>
                <w:lang w:val="en-US" w:eastAsia="zh-CN" w:bidi="ar"/>
              </w:rPr>
              <w:t>3050</w:t>
            </w:r>
          </w:p>
        </w:tc>
        <w:tc>
          <w:tcPr>
            <w:tcW w:w="1603" w:type="dxa"/>
            <w:vMerge w:val="continue"/>
            <w:tcBorders>
              <w:left w:val="single" w:color="000000" w:sz="4" w:space="0"/>
              <w:right w:val="single" w:color="000000" w:sz="4" w:space="0"/>
            </w:tcBorders>
            <w:noWrap/>
            <w:vAlign w:val="center"/>
          </w:tcPr>
          <w:p>
            <w:pPr>
              <w:spacing w:line="320" w:lineRule="exact"/>
              <w:ind w:firstLine="0" w:firstLineChars="0"/>
              <w:jc w:val="center"/>
              <w:rPr>
                <w:szCs w:val="24"/>
              </w:rPr>
            </w:pPr>
          </w:p>
        </w:tc>
      </w:tr>
      <w:tr>
        <w:tblPrEx>
          <w:tblCellMar>
            <w:top w:w="0" w:type="dxa"/>
            <w:left w:w="23" w:type="dxa"/>
            <w:bottom w:w="0" w:type="dxa"/>
            <w:right w:w="23" w:type="dxa"/>
          </w:tblCellMar>
        </w:tblPrEx>
        <w:trPr>
          <w:trHeight w:val="454" w:hRule="atLeast"/>
        </w:trPr>
        <w:tc>
          <w:tcPr>
            <w:tcW w:w="160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sz w:val="24"/>
                <w:szCs w:val="24"/>
              </w:rPr>
              <w:t>热轧带肋钢筋</w:t>
            </w:r>
          </w:p>
        </w:tc>
        <w:tc>
          <w:tcPr>
            <w:tcW w:w="2400" w:type="dxa"/>
            <w:tcBorders>
              <w:top w:val="single" w:color="000000" w:sz="4" w:space="0"/>
              <w:left w:val="single" w:color="000000" w:sz="4" w:space="0"/>
              <w:bottom w:val="single" w:color="000000" w:sz="4" w:space="0"/>
              <w:right w:val="single" w:color="000000" w:sz="4" w:space="0"/>
            </w:tcBorders>
            <w:noWrap w:val="0"/>
            <w:vAlign w:val="center"/>
          </w:tcPr>
          <w:p>
            <w:pPr>
              <w:pStyle w:val="6"/>
              <w:spacing w:line="240" w:lineRule="atLeast"/>
              <w:ind w:firstLine="0" w:firstLineChars="0"/>
              <w:jc w:val="center"/>
              <w:rPr>
                <w:rFonts w:ascii="Times New Roman" w:hAnsi="Times New Roman" w:cs="Times New Roman"/>
                <w:color w:val="000000"/>
                <w:sz w:val="24"/>
                <w:szCs w:val="24"/>
              </w:rPr>
            </w:pPr>
            <w:r>
              <w:rPr>
                <w:rFonts w:hint="default" w:ascii="Times New Roman" w:hAnsi="Times New Roman" w:eastAsia="宋体" w:cs="Times New Roman"/>
                <w:color w:val="000000"/>
                <w:sz w:val="24"/>
                <w:szCs w:val="24"/>
              </w:rPr>
              <w:t>HRB400直径20mm</w:t>
            </w:r>
          </w:p>
        </w:tc>
        <w:tc>
          <w:tcPr>
            <w:tcW w:w="625" w:type="dxa"/>
            <w:tcBorders>
              <w:top w:val="single" w:color="000000" w:sz="4" w:space="0"/>
              <w:left w:val="single" w:color="000000" w:sz="4" w:space="0"/>
              <w:bottom w:val="single" w:color="000000" w:sz="4" w:space="0"/>
              <w:right w:val="single" w:color="000000" w:sz="4" w:space="0"/>
            </w:tcBorders>
            <w:noWrap/>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sz w:val="24"/>
                <w:szCs w:val="24"/>
              </w:rPr>
              <w:t>t</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ind w:firstLine="0" w:firstLineChars="0"/>
              <w:jc w:val="center"/>
              <w:textAlignment w:val="center"/>
              <w:rPr>
                <w:rFonts w:hint="default" w:ascii="Times New Roman" w:hAnsi="Times New Roman" w:eastAsia="宋体" w:cs="Times New Roman"/>
                <w:color w:val="000000" w:themeColor="text1"/>
                <w:spacing w:val="0"/>
                <w:sz w:val="21"/>
                <w:szCs w:val="21"/>
                <w:lang w:val="en-US" w:eastAsia="zh-CN" w:bidi="ar-SA"/>
                <w14:textFill>
                  <w14:solidFill>
                    <w14:schemeClr w14:val="tx1"/>
                  </w14:solidFill>
                </w14:textFill>
              </w:rPr>
            </w:pPr>
            <w:r>
              <w:rPr>
                <w:rFonts w:hint="default" w:ascii="Times New Roman" w:hAnsi="Times New Roman" w:eastAsia="等线" w:cs="Times New Roman"/>
                <w:color w:val="000000"/>
                <w:spacing w:val="0"/>
                <w:sz w:val="22"/>
                <w:szCs w:val="22"/>
              </w:rPr>
              <w:t>4</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eastAsia" w:ascii="Times New Roman" w:hAnsi="Times New Roman" w:eastAsia="宋体" w:cs="Times New Roman"/>
                <w:szCs w:val="24"/>
                <w:lang w:val="en-US" w:eastAsia="zh-CN" w:bidi="ar"/>
              </w:rPr>
            </w:pPr>
            <w:r>
              <w:rPr>
                <w:rFonts w:hint="eastAsia"/>
              </w:rPr>
              <w:t>安徽富鑫</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eastAsia"/>
                <w:szCs w:val="24"/>
                <w:lang w:val="en-US" w:eastAsia="zh-CN" w:bidi="ar"/>
              </w:rPr>
            </w:pPr>
            <w:r>
              <w:rPr>
                <w:rFonts w:hint="eastAsia"/>
                <w:szCs w:val="24"/>
                <w:lang w:val="en-US" w:eastAsia="zh-CN" w:bidi="ar"/>
              </w:rPr>
              <w:t>3050</w:t>
            </w:r>
          </w:p>
        </w:tc>
        <w:tc>
          <w:tcPr>
            <w:tcW w:w="1603" w:type="dxa"/>
            <w:vMerge w:val="continue"/>
            <w:tcBorders>
              <w:left w:val="single" w:color="000000" w:sz="4" w:space="0"/>
              <w:right w:val="single" w:color="000000" w:sz="4" w:space="0"/>
            </w:tcBorders>
            <w:noWrap/>
            <w:vAlign w:val="center"/>
          </w:tcPr>
          <w:p>
            <w:pPr>
              <w:spacing w:line="320" w:lineRule="exact"/>
              <w:ind w:firstLine="0" w:firstLineChars="0"/>
              <w:jc w:val="center"/>
              <w:rPr>
                <w:szCs w:val="24"/>
              </w:rPr>
            </w:pPr>
          </w:p>
        </w:tc>
      </w:tr>
      <w:tr>
        <w:tblPrEx>
          <w:tblCellMar>
            <w:top w:w="0" w:type="dxa"/>
            <w:left w:w="23" w:type="dxa"/>
            <w:bottom w:w="0" w:type="dxa"/>
            <w:right w:w="23" w:type="dxa"/>
          </w:tblCellMar>
        </w:tblPrEx>
        <w:trPr>
          <w:trHeight w:val="454" w:hRule="atLeast"/>
        </w:trPr>
        <w:tc>
          <w:tcPr>
            <w:tcW w:w="160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sz w:val="24"/>
                <w:szCs w:val="24"/>
              </w:rPr>
              <w:t>热轧带肋钢筋</w:t>
            </w:r>
          </w:p>
        </w:tc>
        <w:tc>
          <w:tcPr>
            <w:tcW w:w="2400" w:type="dxa"/>
            <w:tcBorders>
              <w:top w:val="single" w:color="000000" w:sz="4" w:space="0"/>
              <w:left w:val="single" w:color="000000" w:sz="4" w:space="0"/>
              <w:bottom w:val="single" w:color="000000" w:sz="4" w:space="0"/>
              <w:right w:val="single" w:color="000000" w:sz="4" w:space="0"/>
            </w:tcBorders>
            <w:noWrap w:val="0"/>
            <w:vAlign w:val="center"/>
          </w:tcPr>
          <w:p>
            <w:pPr>
              <w:pStyle w:val="6"/>
              <w:spacing w:line="240" w:lineRule="atLeast"/>
              <w:ind w:firstLine="0" w:firstLineChars="0"/>
              <w:jc w:val="center"/>
              <w:rPr>
                <w:rFonts w:ascii="Times New Roman" w:hAnsi="Times New Roman" w:cs="Times New Roman"/>
                <w:color w:val="000000"/>
                <w:sz w:val="24"/>
                <w:szCs w:val="24"/>
              </w:rPr>
            </w:pPr>
            <w:r>
              <w:rPr>
                <w:rFonts w:hint="default" w:ascii="Times New Roman" w:hAnsi="Times New Roman" w:eastAsia="宋体" w:cs="Times New Roman"/>
                <w:color w:val="000000"/>
                <w:sz w:val="24"/>
                <w:szCs w:val="24"/>
              </w:rPr>
              <w:t>HRB400直径22mm</w:t>
            </w:r>
          </w:p>
        </w:tc>
        <w:tc>
          <w:tcPr>
            <w:tcW w:w="625" w:type="dxa"/>
            <w:tcBorders>
              <w:top w:val="single" w:color="000000" w:sz="4" w:space="0"/>
              <w:left w:val="single" w:color="000000" w:sz="4" w:space="0"/>
              <w:bottom w:val="single" w:color="000000" w:sz="4" w:space="0"/>
              <w:right w:val="single" w:color="000000" w:sz="4" w:space="0"/>
            </w:tcBorders>
            <w:noWrap/>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sz w:val="24"/>
                <w:szCs w:val="24"/>
              </w:rPr>
              <w:t>t</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ind w:firstLine="0" w:firstLineChars="0"/>
              <w:jc w:val="center"/>
              <w:textAlignment w:val="center"/>
              <w:rPr>
                <w:rFonts w:hint="default" w:ascii="Times New Roman" w:hAnsi="Times New Roman" w:eastAsia="宋体" w:cs="Times New Roman"/>
                <w:color w:val="000000" w:themeColor="text1"/>
                <w:spacing w:val="0"/>
                <w:sz w:val="21"/>
                <w:szCs w:val="21"/>
                <w:lang w:val="en-US" w:eastAsia="zh-CN" w:bidi="ar-SA"/>
                <w14:textFill>
                  <w14:solidFill>
                    <w14:schemeClr w14:val="tx1"/>
                  </w14:solidFill>
                </w14:textFill>
              </w:rPr>
            </w:pPr>
            <w:r>
              <w:rPr>
                <w:rFonts w:hint="default" w:ascii="Times New Roman" w:hAnsi="Times New Roman" w:eastAsia="等线" w:cs="Times New Roman"/>
                <w:color w:val="000000"/>
                <w:spacing w:val="0"/>
                <w:sz w:val="22"/>
                <w:szCs w:val="22"/>
              </w:rPr>
              <w:t>30</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eastAsia" w:ascii="Times New Roman" w:hAnsi="Times New Roman" w:eastAsia="宋体" w:cs="Times New Roman"/>
                <w:szCs w:val="24"/>
                <w:lang w:val="en-US" w:eastAsia="zh-CN" w:bidi="ar"/>
              </w:rPr>
            </w:pPr>
            <w:r>
              <w:rPr>
                <w:rFonts w:hint="eastAsia"/>
              </w:rPr>
              <w:t>安徽富鑫</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eastAsia"/>
                <w:szCs w:val="24"/>
                <w:lang w:val="en-US" w:eastAsia="zh-CN" w:bidi="ar"/>
              </w:rPr>
            </w:pPr>
            <w:r>
              <w:rPr>
                <w:rFonts w:hint="eastAsia"/>
                <w:szCs w:val="24"/>
                <w:lang w:val="en-US" w:eastAsia="zh-CN" w:bidi="ar"/>
              </w:rPr>
              <w:t>3050</w:t>
            </w:r>
          </w:p>
        </w:tc>
        <w:tc>
          <w:tcPr>
            <w:tcW w:w="1603" w:type="dxa"/>
            <w:vMerge w:val="continue"/>
            <w:tcBorders>
              <w:left w:val="single" w:color="000000" w:sz="4" w:space="0"/>
              <w:right w:val="single" w:color="000000" w:sz="4" w:space="0"/>
            </w:tcBorders>
            <w:noWrap/>
            <w:vAlign w:val="center"/>
          </w:tcPr>
          <w:p>
            <w:pPr>
              <w:spacing w:line="320" w:lineRule="exact"/>
              <w:ind w:firstLine="0" w:firstLineChars="0"/>
              <w:jc w:val="center"/>
              <w:rPr>
                <w:szCs w:val="24"/>
              </w:rPr>
            </w:pPr>
          </w:p>
        </w:tc>
      </w:tr>
      <w:tr>
        <w:tblPrEx>
          <w:tblCellMar>
            <w:top w:w="0" w:type="dxa"/>
            <w:left w:w="23" w:type="dxa"/>
            <w:bottom w:w="0" w:type="dxa"/>
            <w:right w:w="23" w:type="dxa"/>
          </w:tblCellMar>
        </w:tblPrEx>
        <w:trPr>
          <w:trHeight w:val="454" w:hRule="atLeast"/>
        </w:trPr>
        <w:tc>
          <w:tcPr>
            <w:tcW w:w="160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sz w:val="24"/>
                <w:szCs w:val="24"/>
              </w:rPr>
              <w:t>热轧带肋钢筋</w:t>
            </w:r>
          </w:p>
        </w:tc>
        <w:tc>
          <w:tcPr>
            <w:tcW w:w="2400" w:type="dxa"/>
            <w:tcBorders>
              <w:top w:val="single" w:color="000000" w:sz="4" w:space="0"/>
              <w:left w:val="single" w:color="000000" w:sz="4" w:space="0"/>
              <w:bottom w:val="single" w:color="000000" w:sz="4" w:space="0"/>
              <w:right w:val="single" w:color="000000" w:sz="4" w:space="0"/>
            </w:tcBorders>
            <w:noWrap w:val="0"/>
            <w:vAlign w:val="center"/>
          </w:tcPr>
          <w:p>
            <w:pPr>
              <w:pStyle w:val="6"/>
              <w:spacing w:line="240" w:lineRule="atLeast"/>
              <w:ind w:firstLine="0" w:firstLineChars="0"/>
              <w:jc w:val="center"/>
              <w:rPr>
                <w:rFonts w:ascii="Times New Roman" w:hAnsi="Times New Roman" w:cs="Times New Roman"/>
                <w:color w:val="000000"/>
                <w:sz w:val="24"/>
                <w:szCs w:val="24"/>
              </w:rPr>
            </w:pPr>
            <w:r>
              <w:rPr>
                <w:rFonts w:hint="default" w:ascii="Times New Roman" w:hAnsi="Times New Roman" w:eastAsia="宋体" w:cs="Times New Roman"/>
                <w:color w:val="000000"/>
                <w:sz w:val="24"/>
                <w:szCs w:val="24"/>
              </w:rPr>
              <w:t>HRB400直径25mm</w:t>
            </w:r>
          </w:p>
        </w:tc>
        <w:tc>
          <w:tcPr>
            <w:tcW w:w="625" w:type="dxa"/>
            <w:tcBorders>
              <w:top w:val="single" w:color="000000" w:sz="4" w:space="0"/>
              <w:left w:val="single" w:color="000000" w:sz="4" w:space="0"/>
              <w:bottom w:val="single" w:color="000000" w:sz="4" w:space="0"/>
              <w:right w:val="single" w:color="000000" w:sz="4" w:space="0"/>
            </w:tcBorders>
            <w:noWrap/>
            <w:vAlign w:val="center"/>
          </w:tcPr>
          <w:p>
            <w:pPr>
              <w:spacing w:line="240" w:lineRule="atLeast"/>
              <w:ind w:firstLine="0" w:firstLineChars="0"/>
              <w:jc w:val="center"/>
              <w:rPr>
                <w:color w:val="000000"/>
                <w:szCs w:val="24"/>
              </w:rPr>
            </w:pPr>
            <w:r>
              <w:rPr>
                <w:rFonts w:hint="default" w:ascii="Times New Roman" w:hAnsi="Times New Roman" w:eastAsia="宋体" w:cs="Times New Roman"/>
                <w:color w:val="000000"/>
                <w:sz w:val="24"/>
                <w:szCs w:val="24"/>
              </w:rPr>
              <w:t>t</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ind w:firstLine="0" w:firstLineChars="0"/>
              <w:jc w:val="center"/>
              <w:textAlignment w:val="center"/>
              <w:rPr>
                <w:rFonts w:hint="default" w:ascii="Times New Roman" w:hAnsi="Times New Roman" w:eastAsia="宋体" w:cs="Times New Roman"/>
                <w:color w:val="000000" w:themeColor="text1"/>
                <w:spacing w:val="0"/>
                <w:sz w:val="21"/>
                <w:szCs w:val="21"/>
                <w:lang w:val="en-US" w:eastAsia="zh-CN" w:bidi="ar-SA"/>
                <w14:textFill>
                  <w14:solidFill>
                    <w14:schemeClr w14:val="tx1"/>
                  </w14:solidFill>
                </w14:textFill>
              </w:rPr>
            </w:pPr>
            <w:r>
              <w:rPr>
                <w:rFonts w:hint="default" w:ascii="Times New Roman" w:hAnsi="Times New Roman" w:eastAsia="等线" w:cs="Times New Roman"/>
                <w:color w:val="000000"/>
                <w:spacing w:val="0"/>
                <w:sz w:val="22"/>
                <w:szCs w:val="22"/>
              </w:rPr>
              <w:t>60</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eastAsia" w:ascii="Times New Roman" w:hAnsi="Times New Roman" w:eastAsia="宋体" w:cs="Times New Roman"/>
                <w:szCs w:val="24"/>
                <w:lang w:val="en-US" w:eastAsia="zh-CN" w:bidi="ar"/>
              </w:rPr>
            </w:pPr>
            <w:r>
              <w:rPr>
                <w:rFonts w:hint="eastAsia"/>
              </w:rPr>
              <w:t>安徽富鑫</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eastAsia"/>
                <w:szCs w:val="24"/>
                <w:lang w:val="en-US" w:eastAsia="zh-CN" w:bidi="ar"/>
              </w:rPr>
            </w:pPr>
            <w:r>
              <w:rPr>
                <w:rFonts w:hint="eastAsia"/>
                <w:szCs w:val="24"/>
                <w:lang w:val="en-US" w:eastAsia="zh-CN" w:bidi="ar"/>
              </w:rPr>
              <w:t>3050</w:t>
            </w:r>
          </w:p>
        </w:tc>
        <w:tc>
          <w:tcPr>
            <w:tcW w:w="1603" w:type="dxa"/>
            <w:vMerge w:val="continue"/>
            <w:tcBorders>
              <w:left w:val="single" w:color="000000" w:sz="4" w:space="0"/>
              <w:bottom w:val="single" w:color="000000" w:sz="4" w:space="0"/>
              <w:right w:val="single" w:color="000000" w:sz="4" w:space="0"/>
            </w:tcBorders>
            <w:noWrap/>
            <w:vAlign w:val="center"/>
          </w:tcPr>
          <w:p>
            <w:pPr>
              <w:spacing w:line="320" w:lineRule="exact"/>
              <w:ind w:firstLine="0" w:firstLineChars="0"/>
              <w:jc w:val="center"/>
              <w:rPr>
                <w:szCs w:val="24"/>
              </w:rPr>
            </w:pPr>
          </w:p>
        </w:tc>
      </w:tr>
      <w:tr>
        <w:trPr>
          <w:trHeight w:val="454" w:hRule="atLeast"/>
        </w:trPr>
        <w:tc>
          <w:tcPr>
            <w:tcW w:w="160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tLeast"/>
              <w:ind w:firstLine="0" w:firstLineChars="0"/>
              <w:jc w:val="center"/>
              <w:rPr>
                <w:color w:val="000000"/>
                <w:szCs w:val="24"/>
              </w:rPr>
            </w:pPr>
          </w:p>
        </w:tc>
        <w:tc>
          <w:tcPr>
            <w:tcW w:w="2400" w:type="dxa"/>
            <w:tcBorders>
              <w:top w:val="single" w:color="000000" w:sz="4" w:space="0"/>
              <w:left w:val="single" w:color="000000" w:sz="4" w:space="0"/>
              <w:bottom w:val="single" w:color="000000" w:sz="4" w:space="0"/>
              <w:right w:val="single" w:color="000000" w:sz="4" w:space="0"/>
            </w:tcBorders>
            <w:noWrap w:val="0"/>
            <w:vAlign w:val="center"/>
          </w:tcPr>
          <w:p>
            <w:pPr>
              <w:pStyle w:val="6"/>
              <w:spacing w:line="240" w:lineRule="atLeast"/>
              <w:ind w:firstLine="0" w:firstLineChars="0"/>
              <w:jc w:val="center"/>
              <w:rPr>
                <w:rFonts w:ascii="Times New Roman" w:hAnsi="Times New Roman" w:cs="Times New Roman"/>
                <w:color w:val="000000"/>
                <w:sz w:val="24"/>
                <w:szCs w:val="24"/>
              </w:rPr>
            </w:pPr>
            <w:r>
              <w:rPr>
                <w:rFonts w:ascii="Times New Roman" w:hAnsi="Times New Roman" w:cs="Times New Roman"/>
                <w:color w:val="000000"/>
                <w:sz w:val="24"/>
                <w:szCs w:val="24"/>
              </w:rPr>
              <w:t>合计</w:t>
            </w:r>
          </w:p>
        </w:tc>
        <w:tc>
          <w:tcPr>
            <w:tcW w:w="625" w:type="dxa"/>
            <w:tcBorders>
              <w:top w:val="single" w:color="000000" w:sz="4" w:space="0"/>
              <w:left w:val="single" w:color="000000" w:sz="4" w:space="0"/>
              <w:bottom w:val="single" w:color="000000" w:sz="4" w:space="0"/>
              <w:right w:val="single" w:color="000000" w:sz="4" w:space="0"/>
            </w:tcBorders>
            <w:noWrap/>
            <w:vAlign w:val="center"/>
          </w:tcPr>
          <w:p>
            <w:pPr>
              <w:spacing w:line="240" w:lineRule="atLeast"/>
              <w:ind w:firstLine="0" w:firstLineChars="0"/>
              <w:jc w:val="center"/>
              <w:rPr>
                <w:color w:val="000000"/>
                <w:szCs w:val="24"/>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ind w:firstLine="0" w:firstLineChars="0"/>
              <w:jc w:val="center"/>
              <w:textAlignment w:val="center"/>
              <w:rPr>
                <w:rFonts w:hint="default" w:ascii="Times New Roman" w:hAnsi="Times New Roman" w:eastAsia="等线" w:cs="Times New Roman"/>
                <w:color w:val="000000"/>
                <w:spacing w:val="0"/>
                <w:sz w:val="22"/>
                <w:szCs w:val="22"/>
                <w:lang w:val="en-US" w:eastAsia="zh-CN" w:bidi="ar-SA"/>
              </w:rPr>
            </w:pPr>
            <w:r>
              <w:rPr>
                <w:rFonts w:hint="default" w:ascii="Times New Roman" w:hAnsi="Times New Roman" w:eastAsia="等线" w:cs="Times New Roman"/>
                <w:color w:val="000000"/>
                <w:spacing w:val="0"/>
                <w:sz w:val="22"/>
                <w:szCs w:val="22"/>
              </w:rPr>
              <w:t>450</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eastAsia"/>
                <w:szCs w:val="24"/>
                <w:lang w:val="en-US" w:eastAsia="zh-CN" w:bidi="ar"/>
              </w:rPr>
            </w:pP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ind w:firstLine="0" w:firstLineChars="0"/>
              <w:jc w:val="center"/>
              <w:textAlignment w:val="center"/>
              <w:rPr>
                <w:rFonts w:hint="eastAsia"/>
                <w:szCs w:val="24"/>
                <w:lang w:val="en-US" w:eastAsia="zh-CN" w:bidi="ar"/>
              </w:rPr>
            </w:pPr>
          </w:p>
        </w:tc>
        <w:tc>
          <w:tcPr>
            <w:tcW w:w="1603"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ind w:firstLine="0" w:firstLineChars="0"/>
              <w:jc w:val="center"/>
              <w:rPr>
                <w:szCs w:val="24"/>
              </w:rPr>
            </w:pPr>
          </w:p>
        </w:tc>
      </w:tr>
    </w:tbl>
    <w:p>
      <w:pPr>
        <w:pStyle w:val="4"/>
        <w:keepNext w:val="0"/>
        <w:keepLines w:val="0"/>
        <w:pageBreakBefore w:val="0"/>
        <w:widowControl/>
        <w:numPr>
          <w:ilvl w:val="0"/>
          <w:numId w:val="0"/>
        </w:numPr>
        <w:kinsoku/>
        <w:wordWrap/>
        <w:overflowPunct/>
        <w:topLinePunct w:val="0"/>
        <w:autoSpaceDE/>
        <w:autoSpaceDN/>
        <w:bidi w:val="0"/>
        <w:spacing w:before="0" w:line="360" w:lineRule="auto"/>
        <w:ind w:left="0" w:leftChars="0" w:firstLine="480" w:firstLineChars="200"/>
        <w:textAlignment w:val="auto"/>
        <w:rPr>
          <w:rFonts w:hint="eastAsia"/>
          <w:lang w:eastAsia="zh-CN"/>
        </w:rPr>
      </w:pPr>
      <w:r>
        <w:rPr>
          <w:rFonts w:hint="eastAsia" w:ascii="宋体" w:hAnsi="宋体" w:cs="宋体"/>
          <w:spacing w:val="0"/>
          <w:sz w:val="24"/>
          <w:szCs w:val="24"/>
          <w:highlight w:val="none"/>
          <w:lang w:val="en-US" w:eastAsia="zh-CN"/>
        </w:rPr>
        <w:t>一、</w:t>
      </w:r>
      <w:r>
        <w:rPr>
          <w:rFonts w:hint="eastAsia" w:ascii="宋体" w:hAnsi="宋体" w:eastAsia="宋体"/>
          <w:b w:val="0"/>
          <w:bCs/>
          <w:color w:val="auto"/>
          <w:szCs w:val="21"/>
          <w:highlight w:val="none"/>
          <w:lang w:val="en-US" w:eastAsia="zh-CN"/>
        </w:rPr>
        <w:t>各直径规格</w:t>
      </w:r>
      <w:r>
        <w:rPr>
          <w:rFonts w:hint="eastAsia" w:ascii="宋体" w:hAnsi="宋体" w:eastAsia="宋体"/>
          <w:b w:val="0"/>
          <w:bCs/>
          <w:color w:val="auto"/>
          <w:szCs w:val="21"/>
          <w:highlight w:val="none"/>
        </w:rPr>
        <w:t>钢筋最终结算</w:t>
      </w:r>
      <w:r>
        <w:rPr>
          <w:rFonts w:hint="eastAsia" w:ascii="宋体" w:hAnsi="宋体"/>
          <w:b w:val="0"/>
          <w:bCs/>
          <w:color w:val="auto"/>
          <w:szCs w:val="21"/>
          <w:highlight w:val="none"/>
          <w:lang w:val="en-US" w:eastAsia="zh-CN"/>
        </w:rPr>
        <w:t>单价</w:t>
      </w:r>
      <w:r>
        <w:rPr>
          <w:rFonts w:hint="eastAsia" w:ascii="宋体" w:hAnsi="宋体" w:eastAsia="宋体"/>
          <w:b w:val="0"/>
          <w:bCs/>
          <w:color w:val="auto"/>
          <w:szCs w:val="21"/>
          <w:highlight w:val="none"/>
        </w:rPr>
        <w:t>（元/吨）=订货通知单当天“我的钢铁网”第一次发布的</w:t>
      </w:r>
      <w:r>
        <w:rPr>
          <w:rFonts w:hint="eastAsia" w:ascii="宋体" w:hAnsi="宋体" w:eastAsia="宋体"/>
          <w:b w:val="0"/>
          <w:bCs/>
          <w:color w:val="auto"/>
          <w:szCs w:val="21"/>
          <w:highlight w:val="none"/>
          <w:u w:val="single"/>
        </w:rPr>
        <w:t xml:space="preserve"> </w:t>
      </w:r>
      <w:r>
        <w:rPr>
          <w:rFonts w:hint="eastAsia" w:ascii="宋体" w:hAnsi="宋体"/>
          <w:b w:val="0"/>
          <w:bCs w:val="0"/>
          <w:color w:val="000000"/>
          <w:kern w:val="2"/>
          <w:szCs w:val="24"/>
          <w:u w:val="single"/>
        </w:rPr>
        <w:t>江苏镔鑫</w:t>
      </w:r>
      <w:r>
        <w:rPr>
          <w:rFonts w:hint="eastAsia" w:ascii="宋体" w:hAnsi="宋体"/>
          <w:b w:val="0"/>
          <w:bCs w:val="0"/>
          <w:color w:val="000000"/>
          <w:kern w:val="2"/>
          <w:szCs w:val="24"/>
          <w:u w:val="single"/>
          <w:lang w:eastAsia="zh-CN"/>
        </w:rPr>
        <w:t>、</w:t>
      </w:r>
      <w:r>
        <w:rPr>
          <w:rFonts w:hint="eastAsia" w:ascii="宋体" w:hAnsi="宋体"/>
          <w:b w:val="0"/>
          <w:bCs w:val="0"/>
          <w:color w:val="000000"/>
          <w:kern w:val="2"/>
          <w:szCs w:val="24"/>
          <w:u w:val="single"/>
          <w:lang w:val="en-US" w:eastAsia="zh-CN"/>
        </w:rPr>
        <w:t>日照、安徽富鑫</w:t>
      </w:r>
      <w:r>
        <w:rPr>
          <w:rFonts w:hint="eastAsia" w:ascii="宋体" w:hAnsi="宋体" w:eastAsia="宋体"/>
          <w:b w:val="0"/>
          <w:bCs/>
          <w:color w:val="auto"/>
          <w:szCs w:val="21"/>
          <w:highlight w:val="none"/>
          <w:u w:val="single"/>
        </w:rPr>
        <w:t xml:space="preserve"> </w:t>
      </w:r>
      <w:r>
        <w:rPr>
          <w:rFonts w:hint="eastAsia" w:ascii="宋体" w:hAnsi="宋体" w:eastAsia="宋体"/>
          <w:b w:val="0"/>
          <w:bCs/>
          <w:color w:val="auto"/>
          <w:szCs w:val="21"/>
          <w:highlight w:val="none"/>
        </w:rPr>
        <w:t>各种规格钢材的上海</w:t>
      </w:r>
      <w:r>
        <w:rPr>
          <w:rFonts w:hint="eastAsia" w:ascii="宋体" w:hAnsi="宋体"/>
          <w:b w:val="0"/>
          <w:bCs/>
          <w:color w:val="auto"/>
          <w:szCs w:val="21"/>
          <w:highlight w:val="none"/>
          <w:lang w:val="en-US" w:eastAsia="zh-CN"/>
        </w:rPr>
        <w:t>地区</w:t>
      </w:r>
      <w:r>
        <w:rPr>
          <w:rFonts w:hint="eastAsia" w:ascii="宋体" w:hAnsi="宋体" w:eastAsia="宋体"/>
          <w:b w:val="0"/>
          <w:bCs/>
          <w:color w:val="auto"/>
          <w:szCs w:val="21"/>
          <w:highlight w:val="none"/>
        </w:rPr>
        <w:t>价格±上下浮价。</w:t>
      </w:r>
      <w:r>
        <w:rPr>
          <w:rFonts w:hint="eastAsia" w:ascii="宋体" w:hAnsi="宋体" w:eastAsia="宋体"/>
          <w:b w:val="0"/>
          <w:bCs/>
          <w:color w:val="auto"/>
          <w:szCs w:val="21"/>
          <w:highlight w:val="none"/>
          <w:lang w:val="en-US" w:eastAsia="zh-CN"/>
        </w:rPr>
        <w:t>其中：</w:t>
      </w:r>
      <w:r>
        <w:rPr>
          <w:rFonts w:hint="eastAsia" w:ascii="宋体" w:hAnsi="宋体" w:eastAsia="宋体"/>
          <w:b w:val="0"/>
          <w:bCs/>
          <w:color w:val="auto"/>
          <w:szCs w:val="21"/>
          <w:highlight w:val="none"/>
        </w:rPr>
        <w:t>①HPB300直径为1</w:t>
      </w:r>
      <w:r>
        <w:rPr>
          <w:rFonts w:hint="eastAsia" w:ascii="宋体" w:hAnsi="宋体" w:eastAsia="宋体"/>
          <w:b w:val="0"/>
          <w:bCs/>
          <w:color w:val="auto"/>
          <w:szCs w:val="21"/>
          <w:highlight w:val="none"/>
          <w:lang w:val="en-US" w:eastAsia="zh-CN"/>
        </w:rPr>
        <w:t>0</w:t>
      </w:r>
      <w:r>
        <w:rPr>
          <w:rFonts w:hint="eastAsia" w:ascii="宋体" w:hAnsi="宋体" w:eastAsia="宋体"/>
          <w:b w:val="0"/>
          <w:bCs/>
          <w:color w:val="auto"/>
          <w:szCs w:val="21"/>
          <w:highlight w:val="none"/>
        </w:rPr>
        <w:t>mm的热轧光圆钢筋最终结算单价（元/吨）=订货通知单当天“我的钢铁网”第一次发布的</w:t>
      </w:r>
      <w:r>
        <w:rPr>
          <w:rFonts w:hint="eastAsia" w:ascii="宋体" w:hAnsi="宋体" w:eastAsia="宋体"/>
          <w:b/>
          <w:bCs w:val="0"/>
          <w:color w:val="auto"/>
          <w:szCs w:val="21"/>
          <w:highlight w:val="none"/>
          <w:u w:val="single"/>
        </w:rPr>
        <w:t xml:space="preserve"> </w:t>
      </w:r>
      <w:r>
        <w:rPr>
          <w:rFonts w:hint="eastAsia" w:ascii="宋体" w:hAnsi="宋体" w:eastAsia="宋体" w:cs="Arial"/>
          <w:b w:val="0"/>
          <w:bCs w:val="0"/>
          <w:color w:val="000000"/>
          <w:kern w:val="2"/>
          <w:szCs w:val="24"/>
          <w:u w:val="single"/>
        </w:rPr>
        <w:t>江苏镔鑫</w:t>
      </w:r>
      <w:r>
        <w:rPr>
          <w:rFonts w:hint="eastAsia" w:ascii="宋体" w:hAnsi="宋体" w:eastAsia="宋体"/>
          <w:b/>
          <w:bCs w:val="0"/>
          <w:color w:val="auto"/>
          <w:szCs w:val="21"/>
          <w:highlight w:val="none"/>
          <w:u w:val="single"/>
        </w:rPr>
        <w:t xml:space="preserve"> </w:t>
      </w:r>
      <w:r>
        <w:rPr>
          <w:rFonts w:hint="eastAsia" w:ascii="宋体" w:hAnsi="宋体" w:eastAsia="宋体"/>
          <w:b w:val="0"/>
          <w:bCs/>
          <w:color w:val="auto"/>
          <w:szCs w:val="21"/>
          <w:highlight w:val="none"/>
        </w:rPr>
        <w:t>该规格钢材的上海地区价格±上下浮价；②H</w:t>
      </w:r>
      <w:r>
        <w:rPr>
          <w:rFonts w:hint="eastAsia" w:ascii="宋体" w:hAnsi="宋体" w:eastAsia="宋体"/>
          <w:b w:val="0"/>
          <w:bCs/>
          <w:color w:val="auto"/>
          <w:szCs w:val="21"/>
          <w:highlight w:val="none"/>
          <w:lang w:val="en-US" w:eastAsia="zh-CN"/>
        </w:rPr>
        <w:t>RB4</w:t>
      </w:r>
      <w:r>
        <w:rPr>
          <w:rFonts w:hint="eastAsia" w:ascii="宋体" w:hAnsi="宋体" w:eastAsia="宋体"/>
          <w:b w:val="0"/>
          <w:bCs/>
          <w:color w:val="auto"/>
          <w:szCs w:val="21"/>
          <w:highlight w:val="none"/>
        </w:rPr>
        <w:t>00直径为1</w:t>
      </w:r>
      <w:r>
        <w:rPr>
          <w:rFonts w:hint="eastAsia" w:ascii="宋体" w:hAnsi="宋体" w:eastAsia="宋体"/>
          <w:b w:val="0"/>
          <w:bCs/>
          <w:color w:val="auto"/>
          <w:szCs w:val="21"/>
          <w:highlight w:val="none"/>
          <w:lang w:val="en-US" w:eastAsia="zh-CN"/>
        </w:rPr>
        <w:t>0</w:t>
      </w:r>
      <w:r>
        <w:rPr>
          <w:rFonts w:hint="eastAsia" w:ascii="宋体" w:hAnsi="宋体" w:eastAsia="宋体"/>
          <w:b w:val="0"/>
          <w:bCs/>
          <w:color w:val="auto"/>
          <w:szCs w:val="21"/>
          <w:highlight w:val="none"/>
        </w:rPr>
        <w:t>mm的热轧</w:t>
      </w:r>
      <w:r>
        <w:rPr>
          <w:rFonts w:hint="default" w:ascii="Times New Roman" w:hAnsi="Times New Roman" w:eastAsia="宋体" w:cs="Times New Roman"/>
          <w:color w:val="000000"/>
          <w:sz w:val="24"/>
          <w:szCs w:val="24"/>
        </w:rPr>
        <w:t>带肋</w:t>
      </w:r>
      <w:r>
        <w:rPr>
          <w:rFonts w:hint="eastAsia" w:ascii="宋体" w:hAnsi="宋体" w:eastAsia="宋体"/>
          <w:b w:val="0"/>
          <w:bCs/>
          <w:color w:val="auto"/>
          <w:szCs w:val="21"/>
          <w:highlight w:val="none"/>
        </w:rPr>
        <w:t>钢筋最终结算单价（元/吨）=订货通知单当天“我的钢铁网”第一次发布的</w:t>
      </w:r>
      <w:r>
        <w:rPr>
          <w:rFonts w:hint="eastAsia" w:ascii="宋体" w:hAnsi="宋体" w:eastAsia="宋体"/>
          <w:b/>
          <w:bCs w:val="0"/>
          <w:color w:val="auto"/>
          <w:szCs w:val="21"/>
          <w:highlight w:val="none"/>
          <w:u w:val="single"/>
        </w:rPr>
        <w:t xml:space="preserve"> </w:t>
      </w:r>
      <w:r>
        <w:rPr>
          <w:rFonts w:hint="eastAsia" w:ascii="宋体" w:hAnsi="宋体" w:eastAsia="宋体" w:cs="Arial"/>
          <w:b w:val="0"/>
          <w:bCs w:val="0"/>
          <w:color w:val="000000"/>
          <w:kern w:val="2"/>
          <w:szCs w:val="24"/>
          <w:u w:val="single"/>
          <w:lang w:val="en-US" w:eastAsia="zh-CN"/>
        </w:rPr>
        <w:t>日照</w:t>
      </w:r>
      <w:r>
        <w:rPr>
          <w:rFonts w:hint="eastAsia" w:ascii="宋体" w:hAnsi="宋体" w:eastAsia="宋体"/>
          <w:b/>
          <w:bCs w:val="0"/>
          <w:color w:val="auto"/>
          <w:szCs w:val="21"/>
          <w:highlight w:val="none"/>
          <w:u w:val="single"/>
        </w:rPr>
        <w:t xml:space="preserve"> </w:t>
      </w:r>
      <w:r>
        <w:rPr>
          <w:rFonts w:hint="eastAsia" w:ascii="宋体" w:hAnsi="宋体" w:eastAsia="宋体"/>
          <w:b w:val="0"/>
          <w:bCs/>
          <w:color w:val="auto"/>
          <w:szCs w:val="21"/>
          <w:highlight w:val="none"/>
        </w:rPr>
        <w:t>该规格钢材的上海地区价格±上下浮价</w:t>
      </w:r>
      <w:r>
        <w:rPr>
          <w:rFonts w:hint="eastAsia" w:ascii="宋体" w:hAnsi="宋体" w:eastAsia="宋体"/>
          <w:b w:val="0"/>
          <w:bCs/>
          <w:color w:val="auto"/>
          <w:szCs w:val="21"/>
          <w:highlight w:val="none"/>
          <w:lang w:eastAsia="zh-CN"/>
        </w:rPr>
        <w:t>；</w:t>
      </w:r>
      <w:r>
        <w:rPr>
          <w:rFonts w:hint="eastAsia" w:ascii="宋体" w:hAnsi="宋体" w:eastAsia="宋体" w:cs="宋体"/>
          <w:b w:val="0"/>
          <w:bCs/>
          <w:color w:val="auto"/>
          <w:szCs w:val="21"/>
          <w:highlight w:val="none"/>
          <w:lang w:eastAsia="zh-CN"/>
        </w:rPr>
        <w:t>③</w:t>
      </w:r>
      <w:r>
        <w:rPr>
          <w:rFonts w:hint="eastAsia" w:ascii="宋体" w:hAnsi="宋体" w:eastAsia="宋体" w:cs="宋体"/>
          <w:b w:val="0"/>
          <w:bCs/>
          <w:color w:val="auto"/>
          <w:szCs w:val="21"/>
          <w:highlight w:val="none"/>
          <w:lang w:val="en-US" w:eastAsia="zh-CN"/>
        </w:rPr>
        <w:t>除</w:t>
      </w:r>
      <w:r>
        <w:rPr>
          <w:rFonts w:hint="eastAsia" w:ascii="宋体" w:hAnsi="宋体" w:eastAsia="宋体"/>
          <w:b w:val="0"/>
          <w:bCs/>
          <w:color w:val="auto"/>
          <w:szCs w:val="21"/>
          <w:highlight w:val="none"/>
        </w:rPr>
        <w:t>直径为1</w:t>
      </w:r>
      <w:r>
        <w:rPr>
          <w:rFonts w:hint="eastAsia" w:ascii="宋体" w:hAnsi="宋体" w:eastAsia="宋体"/>
          <w:b w:val="0"/>
          <w:bCs/>
          <w:color w:val="auto"/>
          <w:szCs w:val="21"/>
          <w:highlight w:val="none"/>
          <w:lang w:val="en-US" w:eastAsia="zh-CN"/>
        </w:rPr>
        <w:t>0</w:t>
      </w:r>
      <w:r>
        <w:rPr>
          <w:rFonts w:hint="eastAsia" w:ascii="宋体" w:hAnsi="宋体" w:eastAsia="宋体"/>
          <w:b w:val="0"/>
          <w:bCs/>
          <w:color w:val="auto"/>
          <w:szCs w:val="21"/>
          <w:highlight w:val="none"/>
        </w:rPr>
        <w:t>mm以外的各直径规格钢筋最终结算单价（元/吨）=订货通知单当天“我的钢铁网”第一次发布的</w:t>
      </w:r>
      <w:r>
        <w:rPr>
          <w:rFonts w:hint="eastAsia" w:ascii="宋体" w:hAnsi="宋体" w:eastAsia="宋体"/>
          <w:b/>
          <w:bCs w:val="0"/>
          <w:color w:val="auto"/>
          <w:szCs w:val="21"/>
          <w:highlight w:val="none"/>
          <w:u w:val="single"/>
        </w:rPr>
        <w:t xml:space="preserve"> </w:t>
      </w:r>
      <w:r>
        <w:rPr>
          <w:rFonts w:hint="eastAsia" w:ascii="宋体" w:hAnsi="宋体"/>
          <w:b w:val="0"/>
          <w:bCs w:val="0"/>
          <w:color w:val="000000"/>
          <w:kern w:val="2"/>
          <w:szCs w:val="24"/>
          <w:u w:val="single"/>
          <w:lang w:val="en-US" w:eastAsia="zh-CN"/>
        </w:rPr>
        <w:t>安徽富鑫</w:t>
      </w:r>
      <w:r>
        <w:rPr>
          <w:rFonts w:hint="eastAsia" w:ascii="宋体" w:hAnsi="宋体" w:eastAsia="宋体"/>
          <w:b/>
          <w:bCs w:val="0"/>
          <w:color w:val="auto"/>
          <w:szCs w:val="21"/>
          <w:highlight w:val="none"/>
          <w:u w:val="single"/>
        </w:rPr>
        <w:t xml:space="preserve"> </w:t>
      </w:r>
      <w:r>
        <w:rPr>
          <w:rFonts w:hint="eastAsia" w:ascii="宋体" w:hAnsi="宋体" w:eastAsia="宋体"/>
          <w:b w:val="0"/>
          <w:bCs/>
          <w:color w:val="auto"/>
          <w:szCs w:val="21"/>
          <w:highlight w:val="none"/>
        </w:rPr>
        <w:t>各种规格钢材的上海地区价格±上下浮价。</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leftChars="0" w:firstLine="480" w:firstLineChars="200"/>
        <w:textAlignment w:val="auto"/>
        <w:rPr>
          <w:rFonts w:ascii="Times New Roman" w:hAnsi="Times New Roman" w:cs="Times New Roman"/>
          <w:b w:val="0"/>
          <w:bCs/>
          <w:szCs w:val="21"/>
        </w:rPr>
      </w:pPr>
      <w:r>
        <w:rPr>
          <w:rFonts w:ascii="Times New Roman" w:hAnsi="Times New Roman" w:cs="Times New Roman"/>
          <w:b w:val="0"/>
          <w:bCs/>
          <w:szCs w:val="21"/>
        </w:rPr>
        <w:t>“订货通知单”须注明</w:t>
      </w:r>
      <w:r>
        <w:rPr>
          <w:rFonts w:hint="eastAsia" w:ascii="Times New Roman" w:hAnsi="Times New Roman" w:cs="Times New Roman"/>
          <w:b w:val="0"/>
          <w:bCs/>
          <w:szCs w:val="21"/>
          <w:lang w:val="en-US" w:eastAsia="zh-CN"/>
        </w:rPr>
        <w:t>基准价品牌</w:t>
      </w:r>
      <w:r>
        <w:rPr>
          <w:rFonts w:ascii="Times New Roman" w:hAnsi="Times New Roman" w:cs="Times New Roman"/>
          <w:b w:val="0"/>
          <w:bCs/>
          <w:szCs w:val="21"/>
        </w:rPr>
        <w:t>各规格钢材当天的网牌价，实际结算单价与实际所供品牌</w:t>
      </w:r>
      <w:r>
        <w:rPr>
          <w:rFonts w:hint="eastAsia" w:ascii="Times New Roman" w:hAnsi="Times New Roman" w:cs="Times New Roman"/>
          <w:b w:val="0"/>
          <w:bCs/>
          <w:szCs w:val="21"/>
          <w:lang w:eastAsia="zh-CN"/>
        </w:rPr>
        <w:t>（</w:t>
      </w:r>
      <w:r>
        <w:rPr>
          <w:rFonts w:hint="eastAsia" w:ascii="Times New Roman" w:hAnsi="Times New Roman" w:cs="Times New Roman"/>
          <w:b w:val="0"/>
          <w:bCs/>
          <w:szCs w:val="21"/>
          <w:lang w:val="en-US" w:eastAsia="zh-CN"/>
        </w:rPr>
        <w:t>基准价品牌除外</w:t>
      </w:r>
      <w:r>
        <w:rPr>
          <w:rFonts w:hint="eastAsia" w:ascii="Times New Roman" w:hAnsi="Times New Roman" w:cs="Times New Roman"/>
          <w:b w:val="0"/>
          <w:bCs/>
          <w:szCs w:val="21"/>
          <w:lang w:eastAsia="zh-CN"/>
        </w:rPr>
        <w:t>）</w:t>
      </w:r>
      <w:r>
        <w:rPr>
          <w:rFonts w:ascii="Times New Roman" w:hAnsi="Times New Roman" w:cs="Times New Roman"/>
          <w:b w:val="0"/>
          <w:bCs/>
          <w:szCs w:val="21"/>
        </w:rPr>
        <w:t>的网牌价无关。</w:t>
      </w:r>
    </w:p>
    <w:p>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s="宋体"/>
          <w:color w:val="000000"/>
        </w:rPr>
      </w:pPr>
      <w:r>
        <w:rPr>
          <w:rFonts w:hint="eastAsia" w:ascii="宋体" w:hAnsi="宋体"/>
          <w:color w:val="000000"/>
          <w:szCs w:val="21"/>
        </w:rPr>
        <w:t>二、以上报价为我方送货到</w:t>
      </w:r>
      <w:r>
        <w:rPr>
          <w:rFonts w:hint="eastAsia" w:ascii="Times New Roman" w:hAnsi="Times New Roman" w:eastAsia="宋体" w:cs="Times New Roman"/>
          <w:b/>
          <w:bCs/>
          <w:color w:val="000000"/>
          <w:kern w:val="0"/>
          <w:sz w:val="24"/>
          <w:szCs w:val="21"/>
          <w:u w:val="single"/>
        </w:rPr>
        <w:t>洪泽湖周边滞洪区近期建设工程（泗洪县）施工16标</w:t>
      </w:r>
      <w:r>
        <w:rPr>
          <w:rFonts w:hint="eastAsia" w:ascii="宋体" w:hAnsi="宋体"/>
          <w:color w:val="000000"/>
          <w:szCs w:val="24"/>
        </w:rPr>
        <w:t>工地价格，</w:t>
      </w:r>
      <w:r>
        <w:rPr>
          <w:rFonts w:hint="eastAsia" w:ascii="宋体" w:hAnsi="宋体" w:cs="宋体"/>
          <w:color w:val="000000"/>
        </w:rPr>
        <w:t>已包含货款、运输费、管理费、利润、税费，并包含钢材装车、运输、卸车等全过程的安全保险、措施、以及如发生安全事故导致的赔偿等全部费用，</w:t>
      </w:r>
      <w:r>
        <w:rPr>
          <w:rFonts w:hint="eastAsia"/>
          <w:b/>
          <w:bCs/>
        </w:rPr>
        <w:t>我方不以任何理</w:t>
      </w:r>
      <w:r>
        <w:rPr>
          <w:rFonts w:hint="eastAsia" w:ascii="宋体" w:hAnsi="宋体" w:cs="Arial"/>
          <w:b/>
          <w:bCs/>
          <w:szCs w:val="21"/>
        </w:rPr>
        <w:t>由额外索取任何费用</w:t>
      </w:r>
      <w:r>
        <w:rPr>
          <w:rFonts w:hint="eastAsia" w:ascii="宋体" w:hAnsi="宋体" w:cs="Arial"/>
          <w:b w:val="0"/>
          <w:bCs w:val="0"/>
          <w:szCs w:val="21"/>
        </w:rPr>
        <w:t>,</w:t>
      </w:r>
      <w:r>
        <w:rPr>
          <w:rFonts w:hint="eastAsia" w:ascii="宋体" w:hAnsi="宋体" w:cs="宋体"/>
          <w:color w:val="000000"/>
        </w:rPr>
        <w:t>并提供税率为13%的增值税专用发票。</w:t>
      </w:r>
    </w:p>
    <w:p>
      <w:pPr>
        <w:keepNext w:val="0"/>
        <w:keepLines w:val="0"/>
        <w:pageBreakBefore w:val="0"/>
        <w:widowControl/>
        <w:kinsoku/>
        <w:wordWrap/>
        <w:overflowPunct/>
        <w:topLinePunct w:val="0"/>
        <w:autoSpaceDE/>
        <w:autoSpaceDN/>
        <w:bidi w:val="0"/>
        <w:adjustRightInd/>
        <w:snapToGrid/>
        <w:spacing w:line="360" w:lineRule="auto"/>
        <w:ind w:left="0" w:leftChars="0" w:right="0" w:firstLine="480" w:firstLineChars="200"/>
        <w:textAlignment w:val="auto"/>
        <w:rPr>
          <w:rFonts w:ascii="宋体" w:hAnsi="宋体" w:eastAsia="宋体" w:cs="宋体"/>
          <w:spacing w:val="0"/>
          <w:sz w:val="24"/>
          <w:szCs w:val="24"/>
        </w:rPr>
      </w:pPr>
      <w:r>
        <w:rPr>
          <w:rFonts w:ascii="宋体" w:hAnsi="宋体" w:eastAsia="宋体" w:cs="宋体"/>
          <w:spacing w:val="0"/>
          <w:sz w:val="24"/>
          <w:szCs w:val="24"/>
        </w:rPr>
        <w:t>三、钢筋质量要求：满足GB1499.1-2024 、GB1499.2-2024。</w:t>
      </w:r>
    </w:p>
    <w:p>
      <w:pPr>
        <w:keepNext w:val="0"/>
        <w:keepLines w:val="0"/>
        <w:pageBreakBefore w:val="0"/>
        <w:widowControl/>
        <w:kinsoku/>
        <w:wordWrap/>
        <w:overflowPunct/>
        <w:topLinePunct w:val="0"/>
        <w:autoSpaceDE/>
        <w:autoSpaceDN/>
        <w:bidi w:val="0"/>
        <w:adjustRightInd/>
        <w:snapToGrid/>
        <w:spacing w:line="360" w:lineRule="auto"/>
        <w:ind w:left="0" w:leftChars="0" w:right="0" w:firstLine="480" w:firstLineChars="200"/>
        <w:textAlignment w:val="auto"/>
        <w:rPr>
          <w:rFonts w:ascii="宋体" w:hAnsi="宋体" w:eastAsia="宋体" w:cs="宋体"/>
          <w:spacing w:val="0"/>
          <w:sz w:val="24"/>
          <w:szCs w:val="24"/>
        </w:rPr>
      </w:pPr>
      <w:r>
        <w:rPr>
          <w:rFonts w:ascii="宋体" w:hAnsi="宋体" w:eastAsia="宋体" w:cs="宋体"/>
          <w:spacing w:val="0"/>
          <w:sz w:val="24"/>
          <w:szCs w:val="24"/>
        </w:rPr>
        <w:t>四、钢筋的尺寸要求：</w:t>
      </w:r>
      <w:r>
        <w:rPr>
          <w:rFonts w:hint="eastAsia" w:ascii="宋体" w:hAnsi="宋体" w:eastAsia="宋体" w:cs="宋体"/>
          <w:spacing w:val="0"/>
          <w:sz w:val="24"/>
          <w:szCs w:val="24"/>
        </w:rPr>
        <w:t>HPB300直径10mm为盘圆,其余钢筋长度为12m或9m，且均不加价。</w:t>
      </w:r>
    </w:p>
    <w:p>
      <w:pPr>
        <w:keepNext w:val="0"/>
        <w:keepLines w:val="0"/>
        <w:pageBreakBefore w:val="0"/>
        <w:widowControl/>
        <w:kinsoku/>
        <w:wordWrap/>
        <w:overflowPunct/>
        <w:topLinePunct w:val="0"/>
        <w:autoSpaceDE/>
        <w:autoSpaceDN/>
        <w:bidi w:val="0"/>
        <w:spacing w:line="360" w:lineRule="auto"/>
        <w:ind w:left="0" w:leftChars="0" w:firstLine="480" w:firstLineChars="200"/>
        <w:textAlignment w:val="auto"/>
        <w:rPr>
          <w:rFonts w:hint="eastAsia" w:ascii="宋体" w:hAnsi="宋体" w:cs="宋体"/>
          <w:spacing w:val="0"/>
          <w:sz w:val="24"/>
          <w:szCs w:val="24"/>
          <w:lang w:val="en-US" w:eastAsia="zh-CN"/>
        </w:rPr>
      </w:pPr>
      <w:r>
        <w:rPr>
          <w:rFonts w:ascii="宋体" w:hAnsi="宋体" w:eastAsia="宋体" w:cs="宋体"/>
          <w:spacing w:val="0"/>
          <w:sz w:val="24"/>
          <w:szCs w:val="24"/>
        </w:rPr>
        <w:t>五、我单位已充分理解并无条件接受贵公司招标文件的要求</w:t>
      </w:r>
      <w:r>
        <w:rPr>
          <w:rFonts w:hint="eastAsia" w:ascii="宋体" w:hAnsi="宋体" w:cs="宋体"/>
          <w:spacing w:val="0"/>
          <w:sz w:val="24"/>
          <w:szCs w:val="24"/>
          <w:lang w:val="en-US" w:eastAsia="zh-CN"/>
        </w:rPr>
        <w:t>。</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480" w:firstLineChars="200"/>
        <w:textAlignment w:val="auto"/>
        <w:rPr>
          <w:sz w:val="24"/>
          <w:szCs w:val="24"/>
        </w:rPr>
      </w:pP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480" w:firstLineChars="200"/>
        <w:textAlignment w:val="auto"/>
        <w:rPr>
          <w:sz w:val="24"/>
          <w:szCs w:val="24"/>
        </w:rPr>
      </w:pPr>
    </w:p>
    <w:p>
      <w:pPr>
        <w:keepNext w:val="0"/>
        <w:keepLines w:val="0"/>
        <w:pageBreakBefore w:val="0"/>
        <w:widowControl/>
        <w:kinsoku/>
        <w:wordWrap w:val="0"/>
        <w:overflowPunct/>
        <w:topLinePunct w:val="0"/>
        <w:autoSpaceDE/>
        <w:autoSpaceDN/>
        <w:bidi w:val="0"/>
        <w:adjustRightInd w:val="0"/>
        <w:snapToGrid w:val="0"/>
        <w:spacing w:line="360" w:lineRule="auto"/>
        <w:ind w:left="0" w:leftChars="0" w:firstLine="480" w:firstLineChars="200"/>
        <w:jc w:val="right"/>
        <w:textAlignment w:val="auto"/>
        <w:rPr>
          <w:rFonts w:hint="default" w:eastAsia="宋体"/>
          <w:sz w:val="24"/>
          <w:szCs w:val="24"/>
          <w:lang w:val="en-US" w:eastAsia="zh-CN"/>
        </w:rPr>
      </w:pPr>
      <w:r>
        <w:rPr>
          <w:sz w:val="24"/>
          <w:szCs w:val="24"/>
        </w:rPr>
        <w:t>投标人：（盖章）</w:t>
      </w:r>
      <w:r>
        <w:rPr>
          <w:rFonts w:hint="eastAsia"/>
          <w:sz w:val="24"/>
          <w:szCs w:val="24"/>
          <w:lang w:val="en-US" w:eastAsia="zh-CN"/>
        </w:rPr>
        <w:t xml:space="preserve">       </w:t>
      </w:r>
    </w:p>
    <w:p>
      <w:pPr>
        <w:keepNext w:val="0"/>
        <w:keepLines w:val="0"/>
        <w:pageBreakBefore w:val="0"/>
        <w:widowControl/>
        <w:kinsoku/>
        <w:wordWrap/>
        <w:overflowPunct/>
        <w:topLinePunct w:val="0"/>
        <w:autoSpaceDE/>
        <w:autoSpaceDN/>
        <w:bidi w:val="0"/>
        <w:spacing w:line="360" w:lineRule="auto"/>
        <w:ind w:left="0" w:leftChars="0" w:firstLine="480" w:firstLineChars="200"/>
        <w:jc w:val="right"/>
        <w:textAlignment w:val="auto"/>
        <w:rPr>
          <w:rFonts w:hint="eastAsia" w:ascii="宋体" w:hAnsi="宋体" w:cs="宋体"/>
          <w:spacing w:val="0"/>
          <w:sz w:val="24"/>
          <w:szCs w:val="24"/>
          <w:lang w:val="en-US" w:eastAsia="zh-CN"/>
        </w:rPr>
      </w:pPr>
      <w:r>
        <w:rPr>
          <w:sz w:val="24"/>
          <w:szCs w:val="24"/>
        </w:rPr>
        <w:t>日  期：   年   月   日</w:t>
      </w:r>
      <w:r>
        <w:rPr>
          <w:sz w:val="18"/>
          <w:szCs w:val="18"/>
        </w:rPr>
        <w:br w:type="page"/>
      </w:r>
    </w:p>
    <w:p>
      <w:pPr>
        <w:adjustRightInd w:val="0"/>
        <w:snapToGrid w:val="0"/>
        <w:spacing w:line="276" w:lineRule="auto"/>
        <w:ind w:firstLine="0" w:firstLineChars="0"/>
        <w:rPr>
          <w:b/>
          <w:sz w:val="18"/>
          <w:szCs w:val="18"/>
        </w:rPr>
      </w:pPr>
      <w:r>
        <w:rPr>
          <w:b/>
          <w:sz w:val="18"/>
          <w:szCs w:val="18"/>
        </w:rPr>
        <w:t>附件4：法定代表人资格证明书</w:t>
      </w:r>
    </w:p>
    <w:p>
      <w:pPr>
        <w:adjustRightInd w:val="0"/>
        <w:snapToGrid w:val="0"/>
        <w:spacing w:line="240" w:lineRule="auto"/>
        <w:ind w:firstLine="360"/>
        <w:rPr>
          <w:sz w:val="18"/>
          <w:szCs w:val="18"/>
        </w:rPr>
      </w:pPr>
    </w:p>
    <w:p>
      <w:pPr>
        <w:adjustRightInd w:val="0"/>
        <w:snapToGrid w:val="0"/>
        <w:spacing w:line="240" w:lineRule="auto"/>
        <w:ind w:left="0" w:leftChars="0" w:firstLine="0" w:firstLineChars="0"/>
        <w:jc w:val="center"/>
        <w:rPr>
          <w:b/>
          <w:bCs/>
          <w:sz w:val="32"/>
          <w:szCs w:val="32"/>
        </w:rPr>
      </w:pPr>
      <w:r>
        <w:rPr>
          <w:b/>
          <w:bCs/>
          <w:sz w:val="32"/>
          <w:szCs w:val="32"/>
        </w:rPr>
        <w:t>法定代表人资格证明书</w:t>
      </w:r>
    </w:p>
    <w:p>
      <w:pPr>
        <w:pStyle w:val="6"/>
        <w:adjustRightInd w:val="0"/>
        <w:snapToGrid w:val="0"/>
        <w:ind w:firstLine="360" w:firstLineChars="200"/>
        <w:rPr>
          <w:rFonts w:ascii="Times New Roman" w:hAnsi="Times New Roman" w:cs="Times New Roman"/>
          <w:sz w:val="18"/>
          <w:szCs w:val="18"/>
        </w:rPr>
      </w:pPr>
    </w:p>
    <w:p>
      <w:pPr>
        <w:pStyle w:val="6"/>
        <w:adjustRightInd w:val="0"/>
        <w:snapToGrid w:val="0"/>
        <w:spacing w:line="360" w:lineRule="auto"/>
        <w:jc w:val="both"/>
        <w:rPr>
          <w:rFonts w:ascii="Times New Roman" w:hAnsi="Times New Roman"/>
          <w:b/>
          <w:bCs/>
          <w:sz w:val="28"/>
          <w:szCs w:val="28"/>
        </w:rPr>
      </w:pPr>
    </w:p>
    <w:p>
      <w:pPr>
        <w:pStyle w:val="6"/>
        <w:keepNext w:val="0"/>
        <w:keepLines w:val="0"/>
        <w:pageBreakBefore w:val="0"/>
        <w:kinsoku/>
        <w:wordWrap/>
        <w:overflowPunct/>
        <w:topLinePunct w:val="0"/>
        <w:autoSpaceDE/>
        <w:autoSpaceDN/>
        <w:bidi w:val="0"/>
        <w:adjustRightInd w:val="0"/>
        <w:snapToGrid w:val="0"/>
        <w:spacing w:line="360" w:lineRule="auto"/>
        <w:jc w:val="both"/>
        <w:textAlignment w:val="auto"/>
        <w:rPr>
          <w:rFonts w:ascii="Times New Roman" w:hAnsi="Times New Roman" w:cs="Times New Roman"/>
          <w:b w:val="0"/>
          <w:bCs w:val="0"/>
          <w:sz w:val="28"/>
          <w:szCs w:val="28"/>
        </w:rPr>
      </w:pPr>
      <w:r>
        <w:rPr>
          <w:rFonts w:ascii="Times New Roman" w:hAnsi="Times New Roman"/>
          <w:b w:val="0"/>
          <w:bCs w:val="0"/>
          <w:sz w:val="28"/>
          <w:szCs w:val="28"/>
        </w:rPr>
        <w:t>江苏省水利建设工程有限公司：</w:t>
      </w:r>
    </w:p>
    <w:p>
      <w:pPr>
        <w:pStyle w:val="6"/>
        <w:keepNext w:val="0"/>
        <w:keepLines w:val="0"/>
        <w:pageBreakBefore w:val="0"/>
        <w:kinsoku/>
        <w:wordWrap/>
        <w:overflowPunct/>
        <w:topLinePunct w:val="0"/>
        <w:autoSpaceDE/>
        <w:autoSpaceDN/>
        <w:bidi w:val="0"/>
        <w:adjustRightInd w:val="0"/>
        <w:snapToGrid w:val="0"/>
        <w:spacing w:line="360" w:lineRule="auto"/>
        <w:ind w:firstLine="700" w:firstLineChars="250"/>
        <w:jc w:val="both"/>
        <w:textAlignment w:val="auto"/>
        <w:rPr>
          <w:rFonts w:ascii="Times New Roman" w:hAnsi="Times New Roman" w:cs="Times New Roman"/>
          <w:sz w:val="28"/>
          <w:szCs w:val="28"/>
        </w:rPr>
      </w:pPr>
      <w:r>
        <w:rPr>
          <w:rFonts w:ascii="Times New Roman" w:hAnsi="Times New Roman" w:cs="Times New Roman"/>
          <w:sz w:val="28"/>
          <w:szCs w:val="28"/>
          <w:u w:val="single"/>
        </w:rPr>
        <w:t>（姓名）</w:t>
      </w:r>
      <w:r>
        <w:rPr>
          <w:rFonts w:hint="eastAsia" w:ascii="Times New Roman" w:hAnsi="Times New Roman" w:cs="Times New Roman"/>
          <w:sz w:val="28"/>
          <w:szCs w:val="28"/>
        </w:rPr>
        <w:t xml:space="preserve">（身份证号： </w:t>
      </w:r>
      <w:r>
        <w:rPr>
          <w:rFonts w:hint="eastAsia" w:ascii="Times New Roman" w:hAnsi="Times New Roman" w:cs="Times New Roman"/>
          <w:sz w:val="28"/>
          <w:szCs w:val="28"/>
          <w:lang w:val="en-US" w:eastAsia="zh-CN"/>
        </w:rPr>
        <w:t xml:space="preserve">   </w:t>
      </w:r>
      <w:r>
        <w:rPr>
          <w:rFonts w:hint="eastAsia" w:ascii="Times New Roman" w:hAnsi="Times New Roman" w:cs="Times New Roman"/>
          <w:sz w:val="28"/>
          <w:szCs w:val="28"/>
        </w:rPr>
        <w:t xml:space="preserve">  ）</w:t>
      </w:r>
      <w:r>
        <w:rPr>
          <w:rFonts w:ascii="Times New Roman" w:hAnsi="Times New Roman" w:cs="Times New Roman"/>
          <w:sz w:val="28"/>
          <w:szCs w:val="28"/>
        </w:rPr>
        <w:t>，在</w:t>
      </w:r>
      <w:r>
        <w:rPr>
          <w:rFonts w:ascii="Times New Roman" w:hAnsi="Times New Roman" w:cs="Times New Roman"/>
          <w:sz w:val="28"/>
          <w:szCs w:val="28"/>
          <w:u w:val="single"/>
        </w:rPr>
        <w:t xml:space="preserve">  </w:t>
      </w:r>
      <w:r>
        <w:rPr>
          <w:rFonts w:hint="eastAsia" w:ascii="Times New Roman" w:hAnsi="Times New Roman" w:cs="Times New Roman"/>
          <w:sz w:val="28"/>
          <w:szCs w:val="28"/>
          <w:u w:val="single"/>
          <w:lang w:val="en-US" w:eastAsia="zh-CN"/>
        </w:rPr>
        <w:t xml:space="preserve">  </w:t>
      </w:r>
      <w:r>
        <w:rPr>
          <w:rFonts w:ascii="Times New Roman" w:hAnsi="Times New Roman" w:cs="Times New Roman"/>
          <w:sz w:val="28"/>
          <w:szCs w:val="28"/>
          <w:u w:val="single"/>
        </w:rPr>
        <w:t>（投标人名称）</w:t>
      </w:r>
      <w:r>
        <w:rPr>
          <w:rFonts w:hint="eastAsia" w:ascii="Times New Roman" w:hAnsi="Times New Roman" w:cs="Times New Roman"/>
          <w:sz w:val="28"/>
          <w:szCs w:val="28"/>
          <w:u w:val="single"/>
        </w:rPr>
        <w:t xml:space="preserve">  </w:t>
      </w:r>
      <w:r>
        <w:rPr>
          <w:rFonts w:ascii="Times New Roman" w:hAnsi="Times New Roman" w:cs="Times New Roman"/>
          <w:sz w:val="28"/>
          <w:szCs w:val="28"/>
        </w:rPr>
        <w:t>担任</w:t>
      </w:r>
      <w:r>
        <w:rPr>
          <w:rFonts w:ascii="Times New Roman" w:hAnsi="Times New Roman" w:cs="Times New Roman"/>
          <w:sz w:val="28"/>
          <w:szCs w:val="28"/>
          <w:u w:val="single"/>
        </w:rPr>
        <w:t xml:space="preserve">  （职务名称）  </w:t>
      </w:r>
      <w:r>
        <w:rPr>
          <w:rFonts w:ascii="Times New Roman" w:hAnsi="Times New Roman" w:cs="Times New Roman"/>
          <w:sz w:val="28"/>
          <w:szCs w:val="28"/>
        </w:rPr>
        <w:t>职务，系投标人单位的法定代表人。</w:t>
      </w:r>
    </w:p>
    <w:p>
      <w:pPr>
        <w:pStyle w:val="6"/>
        <w:keepNext w:val="0"/>
        <w:keepLines w:val="0"/>
        <w:pageBreakBefore w:val="0"/>
        <w:kinsoku/>
        <w:wordWrap/>
        <w:overflowPunct/>
        <w:topLinePunct w:val="0"/>
        <w:autoSpaceDE/>
        <w:autoSpaceDN/>
        <w:bidi w:val="0"/>
        <w:adjustRightInd w:val="0"/>
        <w:snapToGrid w:val="0"/>
        <w:spacing w:line="360" w:lineRule="auto"/>
        <w:ind w:firstLine="560" w:firstLineChars="200"/>
        <w:jc w:val="both"/>
        <w:textAlignment w:val="auto"/>
        <w:rPr>
          <w:rFonts w:ascii="Times New Roman" w:hAnsi="Times New Roman" w:cs="Times New Roman"/>
          <w:sz w:val="28"/>
          <w:szCs w:val="28"/>
        </w:rPr>
      </w:pPr>
      <w:r>
        <w:rPr>
          <w:rFonts w:ascii="Times New Roman" w:hAnsi="Times New Roman" w:cs="Times New Roman"/>
          <w:sz w:val="28"/>
          <w:szCs w:val="28"/>
        </w:rPr>
        <w:t>特此证明。</w:t>
      </w:r>
    </w:p>
    <w:p>
      <w:pPr>
        <w:pStyle w:val="6"/>
        <w:keepNext w:val="0"/>
        <w:keepLines w:val="0"/>
        <w:pageBreakBefore w:val="0"/>
        <w:kinsoku/>
        <w:wordWrap/>
        <w:overflowPunct/>
        <w:topLinePunct w:val="0"/>
        <w:autoSpaceDE/>
        <w:autoSpaceDN/>
        <w:bidi w:val="0"/>
        <w:adjustRightInd w:val="0"/>
        <w:snapToGrid w:val="0"/>
        <w:spacing w:line="360" w:lineRule="auto"/>
        <w:ind w:firstLine="560" w:firstLineChars="200"/>
        <w:jc w:val="both"/>
        <w:textAlignment w:val="auto"/>
        <w:rPr>
          <w:rFonts w:ascii="Times New Roman" w:hAnsi="Times New Roman" w:cs="Times New Roman"/>
          <w:sz w:val="28"/>
          <w:szCs w:val="28"/>
        </w:rPr>
      </w:pPr>
    </w:p>
    <w:p>
      <w:pPr>
        <w:pStyle w:val="6"/>
        <w:keepNext w:val="0"/>
        <w:keepLines w:val="0"/>
        <w:pageBreakBefore w:val="0"/>
        <w:kinsoku/>
        <w:wordWrap/>
        <w:overflowPunct/>
        <w:topLinePunct w:val="0"/>
        <w:autoSpaceDE/>
        <w:autoSpaceDN/>
        <w:bidi w:val="0"/>
        <w:adjustRightInd w:val="0"/>
        <w:snapToGrid w:val="0"/>
        <w:spacing w:line="360" w:lineRule="auto"/>
        <w:ind w:firstLine="560" w:firstLineChars="200"/>
        <w:jc w:val="both"/>
        <w:textAlignment w:val="auto"/>
        <w:rPr>
          <w:rFonts w:ascii="Times New Roman" w:hAnsi="Times New Roman" w:cs="Times New Roman"/>
          <w:sz w:val="28"/>
          <w:szCs w:val="28"/>
        </w:rPr>
      </w:pPr>
    </w:p>
    <w:p>
      <w:pPr>
        <w:pStyle w:val="6"/>
        <w:keepNext w:val="0"/>
        <w:keepLines w:val="0"/>
        <w:pageBreakBefore w:val="0"/>
        <w:kinsoku/>
        <w:wordWrap/>
        <w:overflowPunct/>
        <w:topLinePunct w:val="0"/>
        <w:autoSpaceDE/>
        <w:autoSpaceDN/>
        <w:bidi w:val="0"/>
        <w:adjustRightInd w:val="0"/>
        <w:snapToGrid w:val="0"/>
        <w:spacing w:line="360" w:lineRule="auto"/>
        <w:ind w:firstLine="560" w:firstLineChars="200"/>
        <w:jc w:val="both"/>
        <w:textAlignment w:val="auto"/>
        <w:rPr>
          <w:rFonts w:ascii="Times New Roman" w:hAnsi="Times New Roman" w:cs="Times New Roman"/>
          <w:sz w:val="28"/>
          <w:szCs w:val="28"/>
        </w:rPr>
      </w:pPr>
    </w:p>
    <w:p>
      <w:pPr>
        <w:pStyle w:val="6"/>
        <w:keepNext w:val="0"/>
        <w:keepLines w:val="0"/>
        <w:pageBreakBefore w:val="0"/>
        <w:kinsoku/>
        <w:wordWrap/>
        <w:overflowPunct/>
        <w:topLinePunct w:val="0"/>
        <w:autoSpaceDE/>
        <w:autoSpaceDN/>
        <w:bidi w:val="0"/>
        <w:adjustRightInd w:val="0"/>
        <w:snapToGrid w:val="0"/>
        <w:spacing w:line="360" w:lineRule="auto"/>
        <w:ind w:firstLine="560" w:firstLineChars="200"/>
        <w:jc w:val="both"/>
        <w:textAlignment w:val="auto"/>
        <w:rPr>
          <w:rFonts w:ascii="Times New Roman" w:hAnsi="Times New Roman" w:cs="Times New Roman"/>
          <w:sz w:val="28"/>
          <w:szCs w:val="28"/>
        </w:rPr>
      </w:pPr>
    </w:p>
    <w:p>
      <w:pPr>
        <w:pStyle w:val="6"/>
        <w:keepNext w:val="0"/>
        <w:keepLines w:val="0"/>
        <w:pageBreakBefore w:val="0"/>
        <w:kinsoku/>
        <w:wordWrap/>
        <w:overflowPunct/>
        <w:topLinePunct w:val="0"/>
        <w:autoSpaceDE/>
        <w:autoSpaceDN/>
        <w:bidi w:val="0"/>
        <w:adjustRightInd w:val="0"/>
        <w:snapToGrid w:val="0"/>
        <w:spacing w:line="360" w:lineRule="auto"/>
        <w:ind w:left="5040" w:leftChars="2100"/>
        <w:jc w:val="both"/>
        <w:textAlignment w:val="auto"/>
        <w:rPr>
          <w:rFonts w:ascii="Times New Roman" w:hAnsi="Times New Roman" w:cs="Times New Roman"/>
          <w:sz w:val="28"/>
          <w:szCs w:val="28"/>
        </w:rPr>
      </w:pPr>
      <w:r>
        <w:rPr>
          <w:rFonts w:ascii="Times New Roman" w:hAnsi="Times New Roman" w:cs="Times New Roman"/>
          <w:sz w:val="28"/>
          <w:szCs w:val="28"/>
        </w:rPr>
        <w:t>投标单位</w:t>
      </w:r>
      <w:r>
        <w:rPr>
          <w:rFonts w:hint="eastAsia" w:ascii="Times New Roman" w:hAnsi="Times New Roman" w:cs="Times New Roman"/>
          <w:sz w:val="28"/>
          <w:szCs w:val="28"/>
          <w:lang w:eastAsia="zh-CN"/>
        </w:rPr>
        <w:t>：（</w:t>
      </w:r>
      <w:r>
        <w:rPr>
          <w:rFonts w:ascii="Times New Roman" w:hAnsi="Times New Roman" w:cs="Times New Roman"/>
          <w:sz w:val="28"/>
          <w:szCs w:val="28"/>
        </w:rPr>
        <w:t>盖章</w:t>
      </w:r>
      <w:r>
        <w:rPr>
          <w:rFonts w:hint="eastAsia" w:ascii="Times New Roman" w:hAnsi="Times New Roman" w:cs="Times New Roman"/>
          <w:sz w:val="28"/>
          <w:szCs w:val="28"/>
          <w:lang w:eastAsia="zh-CN"/>
        </w:rPr>
        <w:t>）</w:t>
      </w:r>
    </w:p>
    <w:p>
      <w:pPr>
        <w:pStyle w:val="6"/>
        <w:keepNext w:val="0"/>
        <w:keepLines w:val="0"/>
        <w:pageBreakBefore w:val="0"/>
        <w:kinsoku/>
        <w:wordWrap/>
        <w:overflowPunct/>
        <w:topLinePunct w:val="0"/>
        <w:autoSpaceDE/>
        <w:autoSpaceDN/>
        <w:bidi w:val="0"/>
        <w:adjustRightInd w:val="0"/>
        <w:snapToGrid w:val="0"/>
        <w:spacing w:line="360" w:lineRule="auto"/>
        <w:ind w:left="5040" w:leftChars="2100"/>
        <w:jc w:val="both"/>
        <w:textAlignment w:val="auto"/>
        <w:rPr>
          <w:rFonts w:hint="eastAsia" w:ascii="Times New Roman" w:hAnsi="Times New Roman" w:eastAsia="宋体" w:cs="Times New Roman"/>
          <w:sz w:val="28"/>
          <w:szCs w:val="28"/>
          <w:lang w:eastAsia="zh-CN"/>
        </w:rPr>
      </w:pPr>
      <w:r>
        <w:rPr>
          <w:rFonts w:ascii="Times New Roman" w:hAnsi="Times New Roman" w:cs="Times New Roman"/>
          <w:sz w:val="28"/>
          <w:szCs w:val="28"/>
        </w:rPr>
        <w:t>投标单位法定代表人签名</w:t>
      </w:r>
      <w:r>
        <w:rPr>
          <w:rFonts w:hint="eastAsia" w:ascii="Times New Roman" w:hAnsi="Times New Roman" w:cs="Times New Roman"/>
          <w:sz w:val="28"/>
          <w:szCs w:val="28"/>
          <w:lang w:eastAsia="zh-CN"/>
        </w:rPr>
        <w:t>：</w:t>
      </w:r>
    </w:p>
    <w:p>
      <w:pPr>
        <w:pStyle w:val="6"/>
        <w:keepNext w:val="0"/>
        <w:keepLines w:val="0"/>
        <w:pageBreakBefore w:val="0"/>
        <w:kinsoku/>
        <w:wordWrap/>
        <w:overflowPunct/>
        <w:topLinePunct w:val="0"/>
        <w:autoSpaceDE/>
        <w:autoSpaceDN/>
        <w:bidi w:val="0"/>
        <w:adjustRightInd w:val="0"/>
        <w:snapToGrid w:val="0"/>
        <w:spacing w:line="360" w:lineRule="auto"/>
        <w:ind w:left="5040" w:leftChars="2100"/>
        <w:jc w:val="both"/>
        <w:textAlignment w:val="auto"/>
        <w:rPr>
          <w:rFonts w:ascii="Times New Roman" w:hAnsi="Times New Roman" w:cs="Times New Roman"/>
          <w:sz w:val="28"/>
          <w:szCs w:val="28"/>
        </w:rPr>
      </w:pPr>
      <w:r>
        <w:rPr>
          <w:rFonts w:ascii="Times New Roman" w:hAnsi="Times New Roman" w:cs="Times New Roman"/>
          <w:sz w:val="28"/>
          <w:szCs w:val="28"/>
        </w:rPr>
        <w:t>日    期</w:t>
      </w:r>
      <w:r>
        <w:rPr>
          <w:rFonts w:hint="eastAsia" w:ascii="Times New Roman" w:hAnsi="Times New Roman" w:cs="Times New Roman"/>
          <w:sz w:val="28"/>
          <w:szCs w:val="28"/>
          <w:lang w:eastAsia="zh-CN"/>
        </w:rPr>
        <w:t>：</w:t>
      </w:r>
      <w:r>
        <w:rPr>
          <w:rFonts w:hint="eastAsia" w:ascii="Times New Roman" w:hAnsi="Times New Roman" w:cs="Times New Roman"/>
          <w:sz w:val="28"/>
          <w:szCs w:val="28"/>
        </w:rPr>
        <w:t xml:space="preserve"> </w:t>
      </w:r>
      <w:r>
        <w:rPr>
          <w:rFonts w:ascii="Times New Roman" w:hAnsi="Times New Roman" w:cs="Times New Roman"/>
          <w:sz w:val="28"/>
          <w:szCs w:val="28"/>
        </w:rPr>
        <w:t xml:space="preserve">  </w:t>
      </w:r>
      <w:r>
        <w:rPr>
          <w:rFonts w:hint="eastAsia" w:ascii="Times New Roman" w:hAnsi="Times New Roman" w:cs="Times New Roman"/>
          <w:sz w:val="28"/>
          <w:szCs w:val="28"/>
        </w:rPr>
        <w:t xml:space="preserve"> </w:t>
      </w:r>
      <w:r>
        <w:rPr>
          <w:rFonts w:ascii="Times New Roman" w:hAnsi="Times New Roman" w:cs="Times New Roman"/>
          <w:sz w:val="28"/>
          <w:szCs w:val="28"/>
        </w:rPr>
        <w:t xml:space="preserve"> 年</w:t>
      </w:r>
      <w:r>
        <w:rPr>
          <w:rFonts w:hint="eastAsia" w:ascii="Times New Roman" w:hAnsi="Times New Roman" w:cs="Times New Roman"/>
          <w:sz w:val="28"/>
          <w:szCs w:val="28"/>
        </w:rPr>
        <w:t xml:space="preserve"> </w:t>
      </w:r>
      <w:r>
        <w:rPr>
          <w:rFonts w:ascii="Times New Roman" w:hAnsi="Times New Roman" w:cs="Times New Roman"/>
          <w:sz w:val="28"/>
          <w:szCs w:val="28"/>
        </w:rPr>
        <w:t xml:space="preserve">  月</w:t>
      </w:r>
      <w:r>
        <w:rPr>
          <w:rFonts w:hint="eastAsia" w:ascii="Times New Roman" w:hAnsi="Times New Roman" w:cs="Times New Roman"/>
          <w:sz w:val="28"/>
          <w:szCs w:val="28"/>
        </w:rPr>
        <w:t xml:space="preserve"> </w:t>
      </w:r>
      <w:r>
        <w:rPr>
          <w:rFonts w:ascii="Times New Roman" w:hAnsi="Times New Roman" w:cs="Times New Roman"/>
          <w:sz w:val="28"/>
          <w:szCs w:val="28"/>
        </w:rPr>
        <w:t xml:space="preserve">  日</w:t>
      </w:r>
    </w:p>
    <w:p>
      <w:pPr>
        <w:keepNext w:val="0"/>
        <w:keepLines w:val="0"/>
        <w:pageBreakBefore w:val="0"/>
        <w:kinsoku/>
        <w:wordWrap/>
        <w:overflowPunct/>
        <w:topLinePunct w:val="0"/>
        <w:autoSpaceDE/>
        <w:autoSpaceDN/>
        <w:bidi w:val="0"/>
        <w:adjustRightInd w:val="0"/>
        <w:snapToGrid w:val="0"/>
        <w:spacing w:line="360" w:lineRule="auto"/>
        <w:ind w:firstLine="560"/>
        <w:jc w:val="both"/>
        <w:textAlignment w:val="auto"/>
        <w:rPr>
          <w:sz w:val="28"/>
          <w:szCs w:val="28"/>
        </w:rPr>
      </w:pPr>
      <w:r>
        <w:rPr>
          <w:sz w:val="28"/>
          <w:szCs w:val="28"/>
        </w:rPr>
        <w:t>附：法定代表人身份证复印件</w:t>
      </w:r>
    </w:p>
    <w:p>
      <w:pPr>
        <w:pStyle w:val="6"/>
        <w:keepNext w:val="0"/>
        <w:keepLines w:val="0"/>
        <w:pageBreakBefore w:val="0"/>
        <w:kinsoku/>
        <w:wordWrap/>
        <w:overflowPunct/>
        <w:topLinePunct w:val="0"/>
        <w:autoSpaceDE/>
        <w:autoSpaceDN/>
        <w:bidi w:val="0"/>
        <w:snapToGrid w:val="0"/>
        <w:spacing w:line="360" w:lineRule="auto"/>
        <w:textAlignment w:val="auto"/>
        <w:rPr>
          <w:rFonts w:ascii="Times New Roman" w:hAnsi="Times New Roman" w:cs="Times New Roman"/>
          <w:sz w:val="24"/>
          <w:szCs w:val="24"/>
        </w:rPr>
      </w:pPr>
    </w:p>
    <w:p>
      <w:pPr>
        <w:pStyle w:val="6"/>
        <w:rPr>
          <w:rFonts w:ascii="Times New Roman" w:hAnsi="Times New Roman" w:cs="Times New Roman"/>
          <w:b/>
          <w:sz w:val="18"/>
          <w:szCs w:val="18"/>
        </w:rPr>
      </w:pPr>
      <w:r>
        <w:rPr>
          <w:rFonts w:ascii="Times New Roman" w:hAnsi="Times New Roman" w:cs="Times New Roman"/>
          <w:sz w:val="24"/>
          <w:szCs w:val="24"/>
        </w:rPr>
        <w:br w:type="page"/>
      </w:r>
      <w:r>
        <w:rPr>
          <w:rFonts w:ascii="Times New Roman" w:hAnsi="Times New Roman" w:cs="Times New Roman"/>
          <w:b/>
          <w:sz w:val="18"/>
          <w:szCs w:val="18"/>
        </w:rPr>
        <w:t>附件5</w:t>
      </w:r>
    </w:p>
    <w:p>
      <w:pPr>
        <w:adjustRightInd w:val="0"/>
        <w:snapToGrid w:val="0"/>
        <w:spacing w:line="240" w:lineRule="auto"/>
        <w:ind w:left="0" w:leftChars="0" w:firstLine="0" w:firstLineChars="0"/>
        <w:jc w:val="center"/>
        <w:rPr>
          <w:b/>
          <w:bCs/>
          <w:sz w:val="32"/>
          <w:szCs w:val="32"/>
        </w:rPr>
      </w:pPr>
      <w:r>
        <w:rPr>
          <w:b/>
          <w:bCs/>
          <w:sz w:val="32"/>
          <w:szCs w:val="32"/>
        </w:rPr>
        <w:t>授权委托书</w:t>
      </w:r>
    </w:p>
    <w:p>
      <w:pPr>
        <w:adjustRightInd w:val="0"/>
        <w:snapToGrid w:val="0"/>
        <w:spacing w:line="360" w:lineRule="auto"/>
        <w:ind w:firstLine="118" w:firstLineChars="49"/>
        <w:rPr>
          <w:b/>
          <w:bCs/>
          <w:szCs w:val="24"/>
          <w:u w:val="single"/>
        </w:rPr>
      </w:pPr>
    </w:p>
    <w:p>
      <w:pPr>
        <w:keepNext w:val="0"/>
        <w:keepLines w:val="0"/>
        <w:pageBreakBefore w:val="0"/>
        <w:kinsoku/>
        <w:wordWrap/>
        <w:overflowPunct/>
        <w:autoSpaceDE/>
        <w:autoSpaceDN/>
        <w:bidi w:val="0"/>
        <w:adjustRightInd w:val="0"/>
        <w:snapToGrid w:val="0"/>
        <w:spacing w:line="360" w:lineRule="auto"/>
        <w:ind w:left="0" w:leftChars="0" w:firstLine="0" w:firstLineChars="0"/>
        <w:jc w:val="both"/>
        <w:textAlignment w:val="auto"/>
        <w:rPr>
          <w:b w:val="0"/>
          <w:bCs w:val="0"/>
          <w:szCs w:val="24"/>
          <w:u w:val="single"/>
        </w:rPr>
      </w:pPr>
      <w:r>
        <w:rPr>
          <w:b w:val="0"/>
          <w:bCs w:val="0"/>
          <w:szCs w:val="24"/>
          <w:u w:val="none"/>
        </w:rPr>
        <w:t>江苏省水利建设工程有限公司</w:t>
      </w:r>
      <w:r>
        <w:rPr>
          <w:b w:val="0"/>
          <w:bCs w:val="0"/>
          <w:szCs w:val="24"/>
        </w:rPr>
        <w:t>：</w:t>
      </w:r>
    </w:p>
    <w:p>
      <w:pPr>
        <w:keepNext w:val="0"/>
        <w:keepLines w:val="0"/>
        <w:pageBreakBefore w:val="0"/>
        <w:kinsoku/>
        <w:wordWrap/>
        <w:overflowPunct/>
        <w:topLinePunct/>
        <w:autoSpaceDE/>
        <w:autoSpaceDN/>
        <w:bidi w:val="0"/>
        <w:adjustRightInd w:val="0"/>
        <w:snapToGrid w:val="0"/>
        <w:spacing w:line="360" w:lineRule="auto"/>
        <w:ind w:firstLine="480"/>
        <w:jc w:val="both"/>
        <w:textAlignment w:val="auto"/>
        <w:rPr>
          <w:szCs w:val="24"/>
        </w:rPr>
      </w:pPr>
      <w:r>
        <w:rPr>
          <w:szCs w:val="24"/>
        </w:rPr>
        <w:t>本人</w:t>
      </w:r>
      <w:r>
        <w:rPr>
          <w:szCs w:val="24"/>
          <w:u w:val="single"/>
        </w:rPr>
        <w:t>（姓名）</w:t>
      </w:r>
      <w:r>
        <w:rPr>
          <w:szCs w:val="24"/>
        </w:rPr>
        <w:t>，系</w:t>
      </w:r>
      <w:r>
        <w:rPr>
          <w:szCs w:val="24"/>
          <w:u w:val="single"/>
        </w:rPr>
        <w:t>（投标人单位名称）</w:t>
      </w:r>
      <w:r>
        <w:rPr>
          <w:szCs w:val="24"/>
        </w:rPr>
        <w:t>的法定代表人，现委托</w:t>
      </w:r>
      <w:r>
        <w:rPr>
          <w:szCs w:val="24"/>
          <w:u w:val="single"/>
        </w:rPr>
        <w:t xml:space="preserve">        （姓名）</w:t>
      </w:r>
      <w:r>
        <w:rPr>
          <w:rFonts w:hint="eastAsia"/>
          <w:szCs w:val="24"/>
        </w:rPr>
        <w:t>（</w:t>
      </w:r>
      <w:r>
        <w:rPr>
          <w:rFonts w:hint="eastAsia"/>
          <w:sz w:val="22"/>
          <w:szCs w:val="22"/>
        </w:rPr>
        <w:t xml:space="preserve">身份证号：   </w:t>
      </w:r>
      <w:r>
        <w:rPr>
          <w:rFonts w:hint="eastAsia"/>
          <w:szCs w:val="24"/>
        </w:rPr>
        <w:t>）</w:t>
      </w:r>
      <w:r>
        <w:rPr>
          <w:szCs w:val="24"/>
        </w:rPr>
        <w:t>为投标人的委托代理人，授权其代表投标人签署、澄清、说明、补正、递交、撤回、修改</w:t>
      </w:r>
      <w:r>
        <w:rPr>
          <w:rFonts w:hint="eastAsia"/>
          <w:b/>
          <w:szCs w:val="24"/>
          <w:u w:val="single"/>
          <w:lang w:eastAsia="zh-CN"/>
        </w:rPr>
        <w:t>洪泽湖周边滞洪区近期建设工程（泗洪县）施工16标</w:t>
      </w:r>
      <w:r>
        <w:rPr>
          <w:rFonts w:hint="eastAsia"/>
          <w:szCs w:val="24"/>
          <w:lang w:eastAsia="zh-CN"/>
        </w:rPr>
        <w:t>钢筋</w:t>
      </w:r>
      <w:r>
        <w:rPr>
          <w:rFonts w:hint="eastAsia"/>
          <w:szCs w:val="24"/>
        </w:rPr>
        <w:t>采购</w:t>
      </w:r>
      <w:r>
        <w:rPr>
          <w:szCs w:val="24"/>
        </w:rPr>
        <w:t>投标文件和处理投标过程中的事宜。</w:t>
      </w:r>
    </w:p>
    <w:p>
      <w:pPr>
        <w:keepNext w:val="0"/>
        <w:keepLines w:val="0"/>
        <w:pageBreakBefore w:val="0"/>
        <w:kinsoku/>
        <w:wordWrap/>
        <w:overflowPunct/>
        <w:topLinePunct/>
        <w:autoSpaceDE/>
        <w:autoSpaceDN/>
        <w:bidi w:val="0"/>
        <w:adjustRightInd w:val="0"/>
        <w:snapToGrid w:val="0"/>
        <w:spacing w:line="360" w:lineRule="auto"/>
        <w:ind w:firstLine="480"/>
        <w:jc w:val="both"/>
        <w:textAlignment w:val="auto"/>
        <w:rPr>
          <w:szCs w:val="24"/>
        </w:rPr>
      </w:pPr>
      <w:r>
        <w:rPr>
          <w:szCs w:val="24"/>
        </w:rPr>
        <w:t>委托代理人的委托权限还包括</w:t>
      </w:r>
      <w:r>
        <w:rPr>
          <w:rFonts w:hint="eastAsia"/>
          <w:szCs w:val="24"/>
        </w:rPr>
        <w:t>：</w:t>
      </w:r>
      <w:r>
        <w:rPr>
          <w:szCs w:val="24"/>
        </w:rPr>
        <w:t>参与谈判、签署文件、协议及合同。</w:t>
      </w:r>
    </w:p>
    <w:p>
      <w:pPr>
        <w:keepNext w:val="0"/>
        <w:keepLines w:val="0"/>
        <w:pageBreakBefore w:val="0"/>
        <w:kinsoku/>
        <w:wordWrap/>
        <w:overflowPunct/>
        <w:topLinePunct/>
        <w:autoSpaceDE/>
        <w:autoSpaceDN/>
        <w:bidi w:val="0"/>
        <w:adjustRightInd w:val="0"/>
        <w:snapToGrid w:val="0"/>
        <w:spacing w:line="360" w:lineRule="auto"/>
        <w:ind w:firstLine="480"/>
        <w:jc w:val="both"/>
        <w:textAlignment w:val="auto"/>
        <w:rPr>
          <w:szCs w:val="24"/>
        </w:rPr>
      </w:pPr>
      <w:r>
        <w:rPr>
          <w:szCs w:val="24"/>
        </w:rPr>
        <w:t>该委托代理人所签署的上述文件及办理的上述投标事宜，投标人均予承认，其法律后果均由投标人承担。</w:t>
      </w:r>
    </w:p>
    <w:p>
      <w:pPr>
        <w:pStyle w:val="6"/>
        <w:keepNext w:val="0"/>
        <w:keepLines w:val="0"/>
        <w:pageBreakBefore w:val="0"/>
        <w:kinsoku/>
        <w:wordWrap/>
        <w:overflowPunct/>
        <w:autoSpaceDE/>
        <w:autoSpaceDN/>
        <w:bidi w:val="0"/>
        <w:snapToGrid w:val="0"/>
        <w:spacing w:line="360" w:lineRule="auto"/>
        <w:ind w:firstLine="480" w:firstLineChars="200"/>
        <w:jc w:val="both"/>
        <w:textAlignment w:val="auto"/>
        <w:rPr>
          <w:rFonts w:ascii="Times New Roman" w:hAnsi="Times New Roman" w:cs="Times New Roman"/>
          <w:sz w:val="24"/>
          <w:szCs w:val="24"/>
        </w:rPr>
      </w:pPr>
      <w:r>
        <w:rPr>
          <w:rFonts w:ascii="Times New Roman" w:hAnsi="Times New Roman" w:cs="Times New Roman"/>
          <w:sz w:val="24"/>
          <w:szCs w:val="24"/>
        </w:rPr>
        <w:t>委托期限：</w:t>
      </w:r>
      <w:r>
        <w:rPr>
          <w:rFonts w:ascii="Times New Roman" w:hAnsi="Times New Roman" w:cs="Times New Roman"/>
          <w:sz w:val="24"/>
          <w:szCs w:val="24"/>
          <w:u w:val="single"/>
        </w:rPr>
        <w:t xml:space="preserve"> </w:t>
      </w:r>
      <w:r>
        <w:rPr>
          <w:rFonts w:hint="eastAsia" w:ascii="Times New Roman" w:hAnsi="Times New Roman" w:cs="Times New Roman"/>
          <w:sz w:val="24"/>
          <w:szCs w:val="24"/>
          <w:u w:val="single"/>
        </w:rPr>
        <w:t xml:space="preserve">   </w:t>
      </w:r>
      <w:r>
        <w:rPr>
          <w:rFonts w:ascii="Times New Roman" w:hAnsi="Times New Roman" w:cs="Times New Roman"/>
          <w:sz w:val="24"/>
          <w:szCs w:val="24"/>
          <w:u w:val="single"/>
        </w:rPr>
        <w:t xml:space="preserve">  </w:t>
      </w:r>
      <w:r>
        <w:rPr>
          <w:rFonts w:ascii="Times New Roman" w:hAnsi="Times New Roman" w:cs="Times New Roman"/>
          <w:sz w:val="24"/>
          <w:szCs w:val="24"/>
        </w:rPr>
        <w:t>天。</w:t>
      </w:r>
    </w:p>
    <w:p>
      <w:pPr>
        <w:pStyle w:val="6"/>
        <w:keepNext w:val="0"/>
        <w:keepLines w:val="0"/>
        <w:pageBreakBefore w:val="0"/>
        <w:kinsoku/>
        <w:wordWrap/>
        <w:overflowPunct/>
        <w:autoSpaceDE/>
        <w:autoSpaceDN/>
        <w:bidi w:val="0"/>
        <w:snapToGrid w:val="0"/>
        <w:spacing w:line="360" w:lineRule="auto"/>
        <w:ind w:firstLine="480" w:firstLineChars="200"/>
        <w:jc w:val="both"/>
        <w:textAlignment w:val="auto"/>
        <w:rPr>
          <w:rFonts w:ascii="Times New Roman" w:hAnsi="Times New Roman" w:cs="Times New Roman"/>
          <w:sz w:val="24"/>
          <w:szCs w:val="24"/>
        </w:rPr>
      </w:pPr>
      <w:r>
        <w:rPr>
          <w:rFonts w:ascii="Times New Roman" w:hAnsi="Times New Roman" w:cs="Times New Roman"/>
          <w:sz w:val="24"/>
          <w:szCs w:val="24"/>
        </w:rPr>
        <w:t>该代理人无转委托权。</w:t>
      </w:r>
    </w:p>
    <w:p>
      <w:pPr>
        <w:pStyle w:val="4"/>
        <w:keepNext w:val="0"/>
        <w:keepLines w:val="0"/>
        <w:pageBreakBefore w:val="0"/>
        <w:kinsoku/>
        <w:wordWrap/>
        <w:overflowPunct/>
        <w:autoSpaceDE/>
        <w:autoSpaceDN/>
        <w:bidi w:val="0"/>
        <w:snapToGrid w:val="0"/>
        <w:spacing w:before="0" w:line="360" w:lineRule="auto"/>
        <w:ind w:firstLine="480"/>
        <w:jc w:val="both"/>
        <w:textAlignment w:val="auto"/>
      </w:pPr>
    </w:p>
    <w:p>
      <w:pPr>
        <w:keepNext w:val="0"/>
        <w:keepLines w:val="0"/>
        <w:pageBreakBefore w:val="0"/>
        <w:kinsoku/>
        <w:wordWrap/>
        <w:overflowPunct/>
        <w:autoSpaceDE/>
        <w:autoSpaceDN/>
        <w:bidi w:val="0"/>
        <w:snapToGrid w:val="0"/>
        <w:spacing w:line="360" w:lineRule="auto"/>
        <w:jc w:val="both"/>
        <w:textAlignment w:val="auto"/>
      </w:pPr>
    </w:p>
    <w:p>
      <w:pPr>
        <w:keepNext w:val="0"/>
        <w:keepLines w:val="0"/>
        <w:pageBreakBefore w:val="0"/>
        <w:kinsoku/>
        <w:wordWrap/>
        <w:overflowPunct/>
        <w:autoSpaceDE/>
        <w:autoSpaceDN/>
        <w:bidi w:val="0"/>
        <w:snapToGrid w:val="0"/>
        <w:spacing w:line="360" w:lineRule="auto"/>
        <w:jc w:val="both"/>
        <w:textAlignment w:val="auto"/>
      </w:pPr>
    </w:p>
    <w:p>
      <w:pPr>
        <w:keepNext w:val="0"/>
        <w:keepLines w:val="0"/>
        <w:pageBreakBefore w:val="0"/>
        <w:kinsoku/>
        <w:wordWrap/>
        <w:overflowPunct/>
        <w:autoSpaceDE/>
        <w:autoSpaceDN/>
        <w:bidi w:val="0"/>
        <w:snapToGrid w:val="0"/>
        <w:spacing w:line="360" w:lineRule="auto"/>
        <w:jc w:val="both"/>
        <w:textAlignment w:val="auto"/>
      </w:pPr>
    </w:p>
    <w:p>
      <w:pPr>
        <w:keepNext w:val="0"/>
        <w:keepLines w:val="0"/>
        <w:pageBreakBefore w:val="0"/>
        <w:widowControl/>
        <w:tabs>
          <w:tab w:val="left" w:pos="5280"/>
        </w:tabs>
        <w:kinsoku/>
        <w:wordWrap/>
        <w:overflowPunct/>
        <w:topLinePunct w:val="0"/>
        <w:autoSpaceDE/>
        <w:autoSpaceDN/>
        <w:bidi w:val="0"/>
        <w:adjustRightInd w:val="0"/>
        <w:snapToGrid w:val="0"/>
        <w:spacing w:line="360" w:lineRule="auto"/>
        <w:ind w:firstLine="480"/>
        <w:jc w:val="both"/>
        <w:textAlignment w:val="auto"/>
        <w:rPr>
          <w:szCs w:val="24"/>
        </w:rPr>
      </w:pPr>
      <w:r>
        <w:rPr>
          <w:szCs w:val="24"/>
        </w:rPr>
        <w:t>投标人：（盖章）</w:t>
      </w:r>
    </w:p>
    <w:p>
      <w:pPr>
        <w:keepNext w:val="0"/>
        <w:keepLines w:val="0"/>
        <w:pageBreakBefore w:val="0"/>
        <w:widowControl/>
        <w:tabs>
          <w:tab w:val="left" w:pos="5280"/>
        </w:tabs>
        <w:kinsoku/>
        <w:wordWrap/>
        <w:overflowPunct/>
        <w:topLinePunct w:val="0"/>
        <w:autoSpaceDE/>
        <w:autoSpaceDN/>
        <w:bidi w:val="0"/>
        <w:adjustRightInd w:val="0"/>
        <w:snapToGrid w:val="0"/>
        <w:spacing w:line="360" w:lineRule="auto"/>
        <w:ind w:firstLine="480"/>
        <w:jc w:val="both"/>
        <w:textAlignment w:val="auto"/>
        <w:rPr>
          <w:szCs w:val="24"/>
        </w:rPr>
      </w:pPr>
      <w:r>
        <w:rPr>
          <w:szCs w:val="24"/>
        </w:rPr>
        <w:t>日期：</w:t>
      </w:r>
      <w:r>
        <w:rPr>
          <w:rFonts w:hint="eastAsia"/>
          <w:szCs w:val="24"/>
        </w:rPr>
        <w:tab/>
      </w:r>
      <w:r>
        <w:rPr>
          <w:szCs w:val="24"/>
        </w:rPr>
        <w:t>日期：</w:t>
      </w:r>
    </w:p>
    <w:p>
      <w:pPr>
        <w:keepNext w:val="0"/>
        <w:keepLines w:val="0"/>
        <w:pageBreakBefore w:val="0"/>
        <w:widowControl/>
        <w:tabs>
          <w:tab w:val="left" w:pos="5280"/>
        </w:tabs>
        <w:kinsoku/>
        <w:wordWrap/>
        <w:overflowPunct/>
        <w:topLinePunct w:val="0"/>
        <w:autoSpaceDE/>
        <w:autoSpaceDN/>
        <w:bidi w:val="0"/>
        <w:adjustRightInd w:val="0"/>
        <w:snapToGrid w:val="0"/>
        <w:spacing w:line="360" w:lineRule="auto"/>
        <w:ind w:firstLine="480"/>
        <w:jc w:val="both"/>
        <w:textAlignment w:val="auto"/>
        <w:rPr>
          <w:szCs w:val="24"/>
        </w:rPr>
      </w:pPr>
      <w:r>
        <w:rPr>
          <w:szCs w:val="24"/>
        </w:rPr>
        <w:t>法定代表人：（签字）</w:t>
      </w:r>
      <w:r>
        <w:rPr>
          <w:rFonts w:hint="eastAsia"/>
          <w:szCs w:val="24"/>
        </w:rPr>
        <w:tab/>
      </w:r>
      <w:r>
        <w:rPr>
          <w:szCs w:val="24"/>
        </w:rPr>
        <w:t>联系电话：</w:t>
      </w:r>
    </w:p>
    <w:p>
      <w:pPr>
        <w:keepNext w:val="0"/>
        <w:keepLines w:val="0"/>
        <w:pageBreakBefore w:val="0"/>
        <w:widowControl/>
        <w:tabs>
          <w:tab w:val="left" w:pos="630"/>
          <w:tab w:val="left" w:pos="5280"/>
        </w:tabs>
        <w:kinsoku/>
        <w:wordWrap/>
        <w:overflowPunct/>
        <w:topLinePunct w:val="0"/>
        <w:autoSpaceDE/>
        <w:autoSpaceDN/>
        <w:bidi w:val="0"/>
        <w:adjustRightInd w:val="0"/>
        <w:snapToGrid w:val="0"/>
        <w:spacing w:line="360" w:lineRule="auto"/>
        <w:ind w:firstLine="480"/>
        <w:jc w:val="both"/>
        <w:textAlignment w:val="auto"/>
        <w:rPr>
          <w:szCs w:val="24"/>
        </w:rPr>
      </w:pPr>
      <w:r>
        <w:rPr>
          <w:rFonts w:hint="eastAsia"/>
          <w:szCs w:val="24"/>
        </w:rPr>
        <w:t>委</w:t>
      </w:r>
      <w:r>
        <w:rPr>
          <w:szCs w:val="24"/>
        </w:rPr>
        <w:t>托代理人：（签字）</w:t>
      </w:r>
      <w:r>
        <w:rPr>
          <w:rFonts w:hint="eastAsia"/>
          <w:szCs w:val="24"/>
        </w:rPr>
        <w:tab/>
      </w:r>
      <w:r>
        <w:rPr>
          <w:szCs w:val="24"/>
        </w:rPr>
        <w:t>联系电话：</w:t>
      </w:r>
    </w:p>
    <w:p>
      <w:pPr>
        <w:keepNext w:val="0"/>
        <w:keepLines w:val="0"/>
        <w:pageBreakBefore w:val="0"/>
        <w:widowControl/>
        <w:kinsoku/>
        <w:wordWrap/>
        <w:overflowPunct/>
        <w:topLinePunct w:val="0"/>
        <w:autoSpaceDE/>
        <w:autoSpaceDN/>
        <w:bidi w:val="0"/>
        <w:adjustRightInd w:val="0"/>
        <w:snapToGrid w:val="0"/>
        <w:spacing w:line="360" w:lineRule="auto"/>
        <w:ind w:firstLine="480"/>
        <w:jc w:val="both"/>
        <w:textAlignment w:val="auto"/>
        <w:rPr>
          <w:szCs w:val="24"/>
        </w:rPr>
      </w:pPr>
      <w:r>
        <w:rPr>
          <w:szCs w:val="24"/>
        </w:rPr>
        <w:t>附：委托代理人身份证复印件</w:t>
      </w:r>
    </w:p>
    <w:p>
      <w:pPr>
        <w:keepNext w:val="0"/>
        <w:keepLines w:val="0"/>
        <w:pageBreakBefore w:val="0"/>
        <w:kinsoku/>
        <w:wordWrap/>
        <w:overflowPunct/>
        <w:autoSpaceDE/>
        <w:autoSpaceDN/>
        <w:bidi w:val="0"/>
        <w:adjustRightInd w:val="0"/>
        <w:snapToGrid w:val="0"/>
        <w:spacing w:line="360" w:lineRule="auto"/>
        <w:ind w:firstLine="360"/>
        <w:jc w:val="both"/>
        <w:textAlignment w:val="auto"/>
        <w:rPr>
          <w:sz w:val="18"/>
          <w:szCs w:val="18"/>
        </w:rPr>
      </w:pPr>
    </w:p>
    <w:p>
      <w:pPr>
        <w:pStyle w:val="4"/>
        <w:keepNext w:val="0"/>
        <w:keepLines w:val="0"/>
        <w:pageBreakBefore w:val="0"/>
        <w:kinsoku/>
        <w:wordWrap/>
        <w:overflowPunct/>
        <w:autoSpaceDE/>
        <w:autoSpaceDN/>
        <w:bidi w:val="0"/>
        <w:spacing w:before="0" w:line="360" w:lineRule="auto"/>
        <w:ind w:firstLine="360"/>
        <w:textAlignment w:val="auto"/>
        <w:rPr>
          <w:rFonts w:ascii="Times New Roman" w:hAnsi="Times New Roman"/>
          <w:sz w:val="18"/>
          <w:szCs w:val="18"/>
        </w:rPr>
      </w:pPr>
    </w:p>
    <w:p>
      <w:pPr>
        <w:ind w:firstLine="360"/>
        <w:rPr>
          <w:sz w:val="18"/>
          <w:szCs w:val="18"/>
        </w:rPr>
      </w:pPr>
    </w:p>
    <w:p>
      <w:pPr>
        <w:pStyle w:val="4"/>
        <w:ind w:firstLine="360"/>
        <w:rPr>
          <w:rFonts w:ascii="Times New Roman" w:hAnsi="Times New Roman"/>
          <w:sz w:val="18"/>
          <w:szCs w:val="18"/>
        </w:rPr>
      </w:pPr>
    </w:p>
    <w:p>
      <w:pPr>
        <w:ind w:firstLine="360"/>
        <w:rPr>
          <w:sz w:val="18"/>
          <w:szCs w:val="18"/>
        </w:rPr>
      </w:pPr>
    </w:p>
    <w:p>
      <w:pPr>
        <w:pStyle w:val="4"/>
        <w:ind w:firstLine="480"/>
      </w:pPr>
    </w:p>
    <w:p>
      <w:pPr>
        <w:ind w:firstLine="361"/>
        <w:rPr>
          <w:b/>
          <w:sz w:val="18"/>
          <w:szCs w:val="18"/>
        </w:rPr>
      </w:pPr>
      <w:r>
        <w:rPr>
          <w:b/>
          <w:sz w:val="18"/>
          <w:szCs w:val="18"/>
        </w:rPr>
        <w:br w:type="page"/>
      </w:r>
    </w:p>
    <w:p>
      <w:pPr>
        <w:spacing w:before="37" w:line="219" w:lineRule="auto"/>
        <w:rPr>
          <w:rFonts w:ascii="宋体" w:hAnsi="宋体" w:eastAsia="宋体" w:cs="宋体"/>
          <w:sz w:val="24"/>
          <w:szCs w:val="24"/>
        </w:rPr>
      </w:pPr>
      <w:r>
        <w:rPr>
          <w:rFonts w:ascii="宋体" w:hAnsi="宋体" w:eastAsia="宋体" w:cs="宋体"/>
          <w:sz w:val="24"/>
          <w:szCs w:val="24"/>
        </w:rPr>
        <w:t>附件6、投标单位资信证明资料</w:t>
      </w:r>
    </w:p>
    <w:p>
      <w:pPr>
        <w:pStyle w:val="5"/>
        <w:spacing w:line="242" w:lineRule="auto"/>
        <w:rPr>
          <w:sz w:val="24"/>
          <w:szCs w:val="24"/>
        </w:rPr>
      </w:pPr>
    </w:p>
    <w:p>
      <w:pPr>
        <w:pStyle w:val="5"/>
        <w:spacing w:line="243" w:lineRule="auto"/>
        <w:rPr>
          <w:sz w:val="24"/>
          <w:szCs w:val="24"/>
        </w:rPr>
      </w:pPr>
    </w:p>
    <w:p>
      <w:pPr>
        <w:pStyle w:val="5"/>
        <w:spacing w:line="243" w:lineRule="auto"/>
        <w:rPr>
          <w:sz w:val="24"/>
          <w:szCs w:val="24"/>
        </w:rPr>
      </w:pPr>
    </w:p>
    <w:p>
      <w:pPr>
        <w:spacing w:before="62" w:line="219" w:lineRule="auto"/>
        <w:rPr>
          <w:rFonts w:ascii="宋体" w:hAnsi="宋体" w:eastAsia="宋体" w:cs="宋体"/>
          <w:sz w:val="24"/>
          <w:szCs w:val="24"/>
        </w:rPr>
      </w:pPr>
      <w:r>
        <w:rPr>
          <w:rFonts w:ascii="宋体" w:hAnsi="宋体" w:eastAsia="宋体" w:cs="宋体"/>
          <w:spacing w:val="2"/>
          <w:sz w:val="24"/>
          <w:szCs w:val="24"/>
        </w:rPr>
        <w:t>附件7、生产厂家营业执照复印件及资质证明文件</w:t>
      </w:r>
    </w:p>
    <w:p>
      <w:pPr>
        <w:pStyle w:val="5"/>
        <w:spacing w:line="241" w:lineRule="auto"/>
        <w:rPr>
          <w:sz w:val="24"/>
          <w:szCs w:val="24"/>
        </w:rPr>
      </w:pPr>
    </w:p>
    <w:p>
      <w:pPr>
        <w:pStyle w:val="5"/>
        <w:spacing w:line="241" w:lineRule="auto"/>
        <w:rPr>
          <w:sz w:val="24"/>
          <w:szCs w:val="24"/>
        </w:rPr>
      </w:pPr>
    </w:p>
    <w:p>
      <w:pPr>
        <w:pStyle w:val="5"/>
        <w:spacing w:line="242" w:lineRule="auto"/>
        <w:rPr>
          <w:sz w:val="24"/>
          <w:szCs w:val="24"/>
        </w:rPr>
      </w:pPr>
    </w:p>
    <w:p>
      <w:pPr>
        <w:pStyle w:val="5"/>
        <w:spacing w:line="242" w:lineRule="auto"/>
        <w:rPr>
          <w:sz w:val="24"/>
          <w:szCs w:val="24"/>
        </w:rPr>
      </w:pPr>
    </w:p>
    <w:p>
      <w:pPr>
        <w:spacing w:before="62" w:line="219" w:lineRule="auto"/>
        <w:rPr>
          <w:rFonts w:ascii="宋体" w:hAnsi="宋体" w:eastAsia="宋体" w:cs="宋体"/>
          <w:sz w:val="24"/>
          <w:szCs w:val="24"/>
        </w:rPr>
      </w:pPr>
      <w:r>
        <w:rPr>
          <w:rFonts w:ascii="宋体" w:hAnsi="宋体" w:eastAsia="宋体" w:cs="宋体"/>
          <w:spacing w:val="10"/>
          <w:sz w:val="24"/>
          <w:szCs w:val="24"/>
        </w:rPr>
        <w:t>附件8、投标保证金(汇款凭证)</w:t>
      </w:r>
    </w:p>
    <w:p>
      <w:pPr>
        <w:shd w:val="clear" w:color="auto" w:fill="FFFFFF"/>
        <w:spacing w:line="360" w:lineRule="auto"/>
        <w:ind w:firstLine="480"/>
        <w:rPr>
          <w:color w:val="000000" w:themeColor="text1"/>
          <w:sz w:val="24"/>
          <w:szCs w:val="24"/>
          <w14:textFill>
            <w14:solidFill>
              <w14:schemeClr w14:val="tx1"/>
            </w14:solidFill>
          </w14:textFill>
        </w:rPr>
      </w:pPr>
    </w:p>
    <w:p>
      <w:pPr>
        <w:rPr>
          <w:rFonts w:ascii="宋体" w:hAnsi="宋体" w:eastAsia="宋体" w:cs="宋体"/>
          <w:b/>
          <w:bCs/>
          <w:spacing w:val="3"/>
          <w:sz w:val="39"/>
          <w:szCs w:val="39"/>
        </w:rPr>
      </w:pPr>
      <w:r>
        <w:rPr>
          <w:rFonts w:ascii="宋体" w:hAnsi="宋体" w:eastAsia="宋体" w:cs="宋体"/>
          <w:b/>
          <w:bCs/>
          <w:spacing w:val="3"/>
          <w:sz w:val="39"/>
          <w:szCs w:val="39"/>
        </w:rPr>
        <w:br w:type="page"/>
      </w:r>
    </w:p>
    <w:p>
      <w:pPr>
        <w:keepNext w:val="0"/>
        <w:keepLines w:val="0"/>
        <w:pageBreakBefore w:val="0"/>
        <w:widowControl/>
        <w:kinsoku/>
        <w:wordWrap/>
        <w:overflowPunct/>
        <w:topLinePunct w:val="0"/>
        <w:autoSpaceDE/>
        <w:autoSpaceDN/>
        <w:bidi w:val="0"/>
        <w:adjustRightInd/>
        <w:snapToGrid/>
        <w:spacing w:line="219" w:lineRule="auto"/>
        <w:ind w:firstLine="0" w:firstLineChars="0"/>
        <w:jc w:val="center"/>
        <w:textAlignment w:val="auto"/>
        <w:rPr>
          <w:rFonts w:ascii="宋体" w:hAnsi="宋体" w:eastAsia="宋体" w:cs="宋体"/>
          <w:sz w:val="39"/>
          <w:szCs w:val="39"/>
        </w:rPr>
      </w:pPr>
      <w:r>
        <w:rPr>
          <w:rFonts w:ascii="宋体" w:hAnsi="宋体" w:eastAsia="宋体" w:cs="宋体"/>
          <w:b/>
          <w:bCs/>
          <w:spacing w:val="3"/>
          <w:sz w:val="39"/>
          <w:szCs w:val="39"/>
        </w:rPr>
        <w:t>钢材采购合同</w:t>
      </w:r>
    </w:p>
    <w:p>
      <w:pPr>
        <w:spacing w:before="88" w:line="219" w:lineRule="auto"/>
        <w:jc w:val="right"/>
        <w:rPr>
          <w:rFonts w:hint="default" w:ascii="宋体" w:hAnsi="宋体" w:eastAsia="宋体" w:cs="宋体"/>
          <w:sz w:val="23"/>
          <w:szCs w:val="23"/>
          <w:lang w:val="en-US" w:eastAsia="zh-CN"/>
        </w:rPr>
      </w:pPr>
      <w:r>
        <w:rPr>
          <w:rFonts w:ascii="宋体" w:hAnsi="宋体" w:eastAsia="宋体" w:cs="宋体"/>
          <w:spacing w:val="-19"/>
          <w:sz w:val="23"/>
          <w:szCs w:val="23"/>
        </w:rPr>
        <w:t>合同编号：</w:t>
      </w:r>
      <w:r>
        <w:rPr>
          <w:rFonts w:hint="eastAsia" w:ascii="宋体" w:hAnsi="宋体" w:cs="宋体"/>
          <w:spacing w:val="-19"/>
          <w:sz w:val="23"/>
          <w:szCs w:val="23"/>
          <w:lang w:val="en-US" w:eastAsia="zh-CN"/>
        </w:rPr>
        <w:t>JSSJSGS-SQ-SH16-01</w:t>
      </w:r>
    </w:p>
    <w:p>
      <w:pPr>
        <w:keepNext w:val="0"/>
        <w:keepLines w:val="0"/>
        <w:pageBreakBefore w:val="0"/>
        <w:widowControl/>
        <w:kinsoku/>
        <w:wordWrap/>
        <w:overflowPunct/>
        <w:topLinePunct w:val="0"/>
        <w:autoSpaceDE/>
        <w:autoSpaceDN/>
        <w:bidi w:val="0"/>
        <w:adjustRightInd/>
        <w:snapToGrid/>
        <w:spacing w:line="400" w:lineRule="exact"/>
        <w:ind w:left="0"/>
        <w:jc w:val="left"/>
        <w:textAlignment w:val="auto"/>
        <w:rPr>
          <w:rFonts w:hint="eastAsia" w:ascii="宋体" w:hAnsi="宋体" w:eastAsia="宋体" w:cs="宋体"/>
          <w:spacing w:val="0"/>
          <w:sz w:val="24"/>
          <w:szCs w:val="24"/>
        </w:rPr>
      </w:pPr>
      <w:r>
        <w:rPr>
          <w:rFonts w:hint="eastAsia" w:ascii="宋体" w:hAnsi="宋体" w:eastAsia="宋体" w:cs="宋体"/>
          <w:spacing w:val="0"/>
          <w:sz w:val="24"/>
          <w:szCs w:val="24"/>
        </w:rPr>
        <w:t>买方：</w:t>
      </w:r>
      <w:r>
        <w:rPr>
          <w:rFonts w:hint="eastAsia" w:ascii="宋体" w:hAnsi="宋体" w:eastAsia="宋体" w:cs="宋体"/>
          <w:color w:val="000000" w:themeColor="text1"/>
          <w:spacing w:val="0"/>
          <w:sz w:val="24"/>
          <w:szCs w:val="24"/>
          <w14:textFill>
            <w14:solidFill>
              <w14:schemeClr w14:val="tx1"/>
            </w14:solidFill>
          </w14:textFill>
        </w:rPr>
        <w:t>江苏省水利建设工程有限公司</w:t>
      </w:r>
      <w:r>
        <w:rPr>
          <w:rFonts w:hint="eastAsia" w:ascii="宋体" w:hAnsi="宋体" w:eastAsia="宋体" w:cs="宋体"/>
          <w:b/>
          <w:color w:val="000000" w:themeColor="text1"/>
          <w:spacing w:val="0"/>
          <w:sz w:val="24"/>
          <w:szCs w:val="24"/>
          <w:u w:val="single"/>
          <w14:textFill>
            <w14:solidFill>
              <w14:schemeClr w14:val="tx1"/>
            </w14:solidFill>
          </w14:textFill>
        </w:rPr>
        <w:t>洪泽湖周边滞洪区近期建设工程（泗洪县）施工16标</w:t>
      </w:r>
      <w:r>
        <w:rPr>
          <w:rFonts w:hint="eastAsia" w:ascii="宋体" w:hAnsi="宋体" w:eastAsia="宋体" w:cs="宋体"/>
          <w:color w:val="000000" w:themeColor="text1"/>
          <w:spacing w:val="0"/>
          <w:sz w:val="24"/>
          <w:szCs w:val="24"/>
          <w14:textFill>
            <w14:solidFill>
              <w14:schemeClr w14:val="tx1"/>
            </w14:solidFill>
          </w14:textFill>
        </w:rPr>
        <w:t xml:space="preserve">项目经理部  </w:t>
      </w:r>
      <w:r>
        <w:rPr>
          <w:rFonts w:hint="eastAsia" w:ascii="宋体" w:hAnsi="宋体" w:eastAsia="宋体" w:cs="宋体"/>
          <w:spacing w:val="0"/>
          <w:sz w:val="24"/>
          <w:szCs w:val="24"/>
        </w:rPr>
        <w:t xml:space="preserve">    </w:t>
      </w:r>
      <w:r>
        <w:rPr>
          <w:rFonts w:hint="eastAsia" w:ascii="宋体" w:hAnsi="宋体" w:eastAsia="宋体" w:cs="宋体"/>
          <w:spacing w:val="0"/>
          <w:sz w:val="24"/>
          <w:szCs w:val="24"/>
          <w:lang w:val="en-US" w:eastAsia="zh-CN"/>
        </w:rPr>
        <w:t xml:space="preserve">                                                </w:t>
      </w:r>
      <w:r>
        <w:rPr>
          <w:rFonts w:hint="eastAsia" w:ascii="宋体" w:hAnsi="宋体" w:eastAsia="宋体" w:cs="宋体"/>
          <w:spacing w:val="0"/>
          <w:sz w:val="24"/>
          <w:szCs w:val="24"/>
        </w:rPr>
        <w:t>(以下简称甲方)</w:t>
      </w:r>
    </w:p>
    <w:p>
      <w:pPr>
        <w:keepNext w:val="0"/>
        <w:keepLines w:val="0"/>
        <w:pageBreakBefore w:val="0"/>
        <w:widowControl/>
        <w:kinsoku/>
        <w:wordWrap/>
        <w:overflowPunct/>
        <w:topLinePunct w:val="0"/>
        <w:autoSpaceDE/>
        <w:autoSpaceDN/>
        <w:bidi w:val="0"/>
        <w:adjustRightInd/>
        <w:snapToGrid/>
        <w:spacing w:line="400" w:lineRule="exact"/>
        <w:ind w:left="0"/>
        <w:textAlignment w:val="auto"/>
        <w:rPr>
          <w:rFonts w:hint="eastAsia" w:ascii="宋体" w:hAnsi="宋体" w:eastAsia="宋体" w:cs="宋体"/>
          <w:spacing w:val="0"/>
          <w:sz w:val="24"/>
          <w:szCs w:val="24"/>
        </w:rPr>
      </w:pPr>
      <w:r>
        <w:rPr>
          <w:rFonts w:hint="eastAsia" w:ascii="宋体" w:hAnsi="宋体" w:eastAsia="宋体" w:cs="宋体"/>
          <w:spacing w:val="0"/>
          <w:sz w:val="24"/>
          <w:szCs w:val="24"/>
        </w:rPr>
        <w:t xml:space="preserve">卖方：(注意：应填写对方营业执照上注册的全称)  </w:t>
      </w:r>
      <w:r>
        <w:rPr>
          <w:rFonts w:hint="eastAsia" w:ascii="宋体" w:hAnsi="宋体" w:eastAsia="宋体" w:cs="宋体"/>
          <w:spacing w:val="0"/>
          <w:sz w:val="24"/>
          <w:szCs w:val="24"/>
          <w:lang w:val="en-US" w:eastAsia="zh-CN"/>
        </w:rPr>
        <w:t xml:space="preserve">                  </w:t>
      </w:r>
      <w:r>
        <w:rPr>
          <w:rFonts w:hint="eastAsia" w:ascii="宋体" w:hAnsi="宋体" w:eastAsia="宋体" w:cs="宋体"/>
          <w:spacing w:val="0"/>
          <w:sz w:val="24"/>
          <w:szCs w:val="24"/>
        </w:rPr>
        <w:t>(以下简称乙方)</w:t>
      </w:r>
    </w:p>
    <w:p>
      <w:pPr>
        <w:keepNext w:val="0"/>
        <w:keepLines w:val="0"/>
        <w:pageBreakBefore w:val="0"/>
        <w:widowControl/>
        <w:kinsoku/>
        <w:wordWrap/>
        <w:overflowPunct/>
        <w:topLinePunct w:val="0"/>
        <w:autoSpaceDE/>
        <w:autoSpaceDN/>
        <w:bidi w:val="0"/>
        <w:adjustRightInd/>
        <w:snapToGrid/>
        <w:spacing w:before="158" w:line="400" w:lineRule="exact"/>
        <w:ind w:right="184" w:firstLine="479"/>
        <w:textAlignment w:val="auto"/>
        <w:rPr>
          <w:rFonts w:hint="eastAsia" w:ascii="宋体" w:hAnsi="宋体" w:eastAsia="宋体" w:cs="宋体"/>
          <w:spacing w:val="0"/>
          <w:sz w:val="24"/>
          <w:szCs w:val="24"/>
        </w:rPr>
      </w:pPr>
      <w:r>
        <w:rPr>
          <w:rFonts w:hint="eastAsia" w:ascii="宋体" w:hAnsi="宋体" w:eastAsia="宋体" w:cs="宋体"/>
          <w:spacing w:val="0"/>
          <w:sz w:val="24"/>
          <w:szCs w:val="24"/>
        </w:rPr>
        <w:t>甲乙双方在平等、自愿、公平和诚实信用的基础上，根据《</w:t>
      </w:r>
      <w:r>
        <w:rPr>
          <w:rFonts w:hint="eastAsia" w:ascii="宋体" w:hAnsi="宋体" w:eastAsia="宋体" w:cs="宋体"/>
          <w:color w:val="000000" w:themeColor="text1"/>
          <w:spacing w:val="0"/>
          <w:sz w:val="24"/>
          <w:szCs w:val="24"/>
          <w14:textFill>
            <w14:solidFill>
              <w14:schemeClr w14:val="tx1"/>
            </w14:solidFill>
          </w14:textFill>
        </w:rPr>
        <w:t>中华人民共和国民法典</w:t>
      </w:r>
      <w:r>
        <w:rPr>
          <w:rFonts w:hint="eastAsia" w:ascii="宋体" w:hAnsi="宋体" w:eastAsia="宋体" w:cs="宋体"/>
          <w:spacing w:val="0"/>
          <w:sz w:val="24"/>
          <w:szCs w:val="24"/>
        </w:rPr>
        <w:t>》及有关法律法规，就甲方向乙方采购钢材一事，达成本协议，供双方共同遵守。</w:t>
      </w:r>
    </w:p>
    <w:p>
      <w:pPr>
        <w:keepNext w:val="0"/>
        <w:keepLines w:val="0"/>
        <w:pageBreakBefore w:val="0"/>
        <w:widowControl/>
        <w:kinsoku/>
        <w:wordWrap/>
        <w:overflowPunct/>
        <w:topLinePunct w:val="0"/>
        <w:autoSpaceDE/>
        <w:autoSpaceDN/>
        <w:bidi w:val="0"/>
        <w:adjustRightInd/>
        <w:snapToGrid/>
        <w:spacing w:before="0" w:beforeLines="50" w:after="0" w:afterLines="50" w:line="400" w:lineRule="exact"/>
        <w:ind w:left="0" w:firstLine="0" w:firstLineChars="0"/>
        <w:textAlignment w:val="auto"/>
        <w:rPr>
          <w:rFonts w:hint="eastAsia" w:ascii="宋体" w:hAnsi="宋体" w:eastAsia="宋体" w:cs="宋体"/>
          <w:b/>
          <w:bCs/>
          <w:sz w:val="24"/>
          <w:szCs w:val="24"/>
        </w:rPr>
      </w:pPr>
      <w:r>
        <w:rPr>
          <w:rFonts w:hint="eastAsia" w:ascii="宋体" w:hAnsi="宋体" w:eastAsia="宋体" w:cs="宋体"/>
          <w:b/>
          <w:bCs/>
          <w:spacing w:val="11"/>
          <w:sz w:val="24"/>
          <w:szCs w:val="24"/>
        </w:rPr>
        <w:t>一</w:t>
      </w:r>
      <w:r>
        <w:rPr>
          <w:rFonts w:hint="eastAsia" w:ascii="宋体" w:hAnsi="宋体" w:eastAsia="宋体" w:cs="宋体"/>
          <w:b/>
          <w:bCs/>
          <w:spacing w:val="-33"/>
          <w:sz w:val="24"/>
          <w:szCs w:val="24"/>
        </w:rPr>
        <w:t xml:space="preserve"> </w:t>
      </w:r>
      <w:r>
        <w:rPr>
          <w:rFonts w:hint="eastAsia" w:ascii="宋体" w:hAnsi="宋体" w:eastAsia="宋体" w:cs="宋体"/>
          <w:b/>
          <w:bCs/>
          <w:spacing w:val="11"/>
          <w:sz w:val="24"/>
          <w:szCs w:val="24"/>
        </w:rPr>
        <w:t>、钢材供应工程概况：</w:t>
      </w:r>
    </w:p>
    <w:p>
      <w:pPr>
        <w:keepNext w:val="0"/>
        <w:keepLines w:val="0"/>
        <w:pageBreakBefore w:val="0"/>
        <w:widowControl/>
        <w:kinsoku/>
        <w:wordWrap/>
        <w:overflowPunct/>
        <w:topLinePunct w:val="0"/>
        <w:autoSpaceDE/>
        <w:autoSpaceDN/>
        <w:bidi w:val="0"/>
        <w:adjustRightInd/>
        <w:snapToGrid/>
        <w:spacing w:line="400" w:lineRule="exact"/>
        <w:ind w:left="0" w:right="0"/>
        <w:textAlignment w:val="auto"/>
        <w:rPr>
          <w:rFonts w:hint="eastAsia" w:ascii="宋体" w:hAnsi="宋体" w:eastAsia="宋体" w:cs="宋体"/>
          <w:spacing w:val="0"/>
          <w:sz w:val="24"/>
          <w:szCs w:val="24"/>
          <w:lang w:eastAsia="zh-CN"/>
        </w:rPr>
      </w:pPr>
      <w:r>
        <w:rPr>
          <w:rFonts w:hint="eastAsia" w:ascii="宋体" w:hAnsi="宋体" w:eastAsia="宋体" w:cs="宋体"/>
          <w:spacing w:val="0"/>
          <w:sz w:val="24"/>
          <w:szCs w:val="24"/>
          <w:lang w:val="en-US" w:eastAsia="zh-CN"/>
        </w:rPr>
        <w:t>1、</w:t>
      </w:r>
      <w:r>
        <w:rPr>
          <w:rFonts w:hint="eastAsia" w:ascii="宋体" w:hAnsi="宋体" w:eastAsia="宋体" w:cs="宋体"/>
          <w:spacing w:val="0"/>
          <w:sz w:val="24"/>
          <w:szCs w:val="24"/>
        </w:rPr>
        <w:t>工程名称：洪泽湖周边滞洪区近期建设工程（泗洪县）施工16标</w:t>
      </w:r>
      <w:r>
        <w:rPr>
          <w:rFonts w:hint="eastAsia" w:ascii="宋体" w:hAnsi="宋体" w:eastAsia="宋体" w:cs="宋体"/>
          <w:spacing w:val="0"/>
          <w:sz w:val="24"/>
          <w:szCs w:val="24"/>
          <w:lang w:eastAsia="zh-CN"/>
        </w:rPr>
        <w:t>。</w:t>
      </w:r>
    </w:p>
    <w:p>
      <w:pPr>
        <w:keepNext w:val="0"/>
        <w:keepLines w:val="0"/>
        <w:pageBreakBefore w:val="0"/>
        <w:widowControl/>
        <w:kinsoku/>
        <w:wordWrap/>
        <w:overflowPunct/>
        <w:topLinePunct w:val="0"/>
        <w:autoSpaceDE/>
        <w:autoSpaceDN/>
        <w:bidi w:val="0"/>
        <w:adjustRightInd/>
        <w:snapToGrid/>
        <w:spacing w:line="400" w:lineRule="exact"/>
        <w:ind w:left="0" w:right="0"/>
        <w:textAlignment w:val="auto"/>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2、供货期限：中标后开始供货，预计在2025年4月2</w:t>
      </w:r>
      <w:r>
        <w:rPr>
          <w:rFonts w:hint="eastAsia" w:ascii="宋体" w:hAnsi="宋体" w:cs="宋体"/>
          <w:spacing w:val="0"/>
          <w:sz w:val="24"/>
          <w:szCs w:val="24"/>
          <w:lang w:val="en-US" w:eastAsia="zh-CN"/>
        </w:rPr>
        <w:t>6</w:t>
      </w:r>
      <w:r>
        <w:rPr>
          <w:rFonts w:hint="eastAsia" w:ascii="宋体" w:hAnsi="宋体" w:eastAsia="宋体" w:cs="宋体"/>
          <w:spacing w:val="0"/>
          <w:sz w:val="24"/>
          <w:szCs w:val="24"/>
          <w:lang w:val="en-US" w:eastAsia="zh-CN"/>
        </w:rPr>
        <w:t>日至2026年4月30日供应，具体供货开始时间和结束期限以项目实际需求为准。</w:t>
      </w:r>
    </w:p>
    <w:p>
      <w:pPr>
        <w:keepNext w:val="0"/>
        <w:keepLines w:val="0"/>
        <w:pageBreakBefore w:val="0"/>
        <w:widowControl/>
        <w:kinsoku/>
        <w:wordWrap/>
        <w:overflowPunct/>
        <w:topLinePunct w:val="0"/>
        <w:autoSpaceDE/>
        <w:autoSpaceDN/>
        <w:bidi w:val="0"/>
        <w:adjustRightInd/>
        <w:snapToGrid/>
        <w:spacing w:line="400" w:lineRule="exact"/>
        <w:ind w:left="0" w:right="0"/>
        <w:textAlignment w:val="auto"/>
        <w:rPr>
          <w:rFonts w:hint="eastAsia" w:ascii="宋体" w:hAnsi="宋体" w:eastAsia="宋体" w:cs="宋体"/>
          <w:spacing w:val="-2"/>
          <w:sz w:val="24"/>
          <w:szCs w:val="24"/>
          <w:lang w:val="en-US" w:eastAsia="zh-CN"/>
        </w:rPr>
      </w:pPr>
      <w:r>
        <w:rPr>
          <w:rFonts w:hint="eastAsia" w:ascii="宋体" w:hAnsi="宋体" w:eastAsia="宋体" w:cs="宋体"/>
          <w:spacing w:val="0"/>
          <w:sz w:val="24"/>
          <w:szCs w:val="24"/>
          <w:lang w:val="en-US" w:eastAsia="zh-CN"/>
        </w:rPr>
        <w:t xml:space="preserve">3、供货地点：洪泽湖周边滞洪区近期建设工程（泗洪县）施工16标施工现场。 </w:t>
      </w:r>
      <w:r>
        <w:rPr>
          <w:rFonts w:hint="eastAsia" w:ascii="宋体" w:hAnsi="宋体" w:eastAsia="宋体" w:cs="宋体"/>
          <w:spacing w:val="-2"/>
          <w:sz w:val="24"/>
          <w:szCs w:val="24"/>
          <w:lang w:val="en-US" w:eastAsia="zh-CN"/>
        </w:rPr>
        <w:t xml:space="preserve"> </w:t>
      </w:r>
    </w:p>
    <w:p>
      <w:pPr>
        <w:keepNext w:val="0"/>
        <w:keepLines w:val="0"/>
        <w:pageBreakBefore w:val="0"/>
        <w:widowControl/>
        <w:kinsoku/>
        <w:wordWrap/>
        <w:overflowPunct/>
        <w:topLinePunct w:val="0"/>
        <w:autoSpaceDE/>
        <w:autoSpaceDN/>
        <w:bidi w:val="0"/>
        <w:adjustRightInd/>
        <w:snapToGrid/>
        <w:spacing w:before="0" w:beforeLines="50" w:after="0" w:afterLines="50" w:line="400" w:lineRule="exact"/>
        <w:ind w:left="0" w:firstLine="0" w:firstLineChars="0"/>
        <w:textAlignment w:val="auto"/>
        <w:rPr>
          <w:rFonts w:hint="eastAsia" w:ascii="宋体" w:hAnsi="宋体" w:eastAsia="宋体" w:cs="宋体"/>
          <w:b/>
          <w:bCs/>
          <w:spacing w:val="11"/>
          <w:sz w:val="24"/>
          <w:szCs w:val="24"/>
        </w:rPr>
      </w:pPr>
      <w:r>
        <w:rPr>
          <w:rFonts w:hint="eastAsia" w:ascii="宋体" w:hAnsi="宋体" w:eastAsia="宋体" w:cs="宋体"/>
          <w:b/>
          <w:bCs/>
          <w:spacing w:val="11"/>
          <w:sz w:val="24"/>
          <w:szCs w:val="24"/>
        </w:rPr>
        <w:t>二、钢材供应要求：</w:t>
      </w:r>
    </w:p>
    <w:p>
      <w:pPr>
        <w:keepNext w:val="0"/>
        <w:keepLines w:val="0"/>
        <w:pageBreakBefore w:val="0"/>
        <w:widowControl/>
        <w:kinsoku/>
        <w:wordWrap/>
        <w:overflowPunct/>
        <w:topLinePunct w:val="0"/>
        <w:autoSpaceDE/>
        <w:autoSpaceDN/>
        <w:bidi w:val="0"/>
        <w:adjustRightInd/>
        <w:snapToGrid/>
        <w:spacing w:line="400" w:lineRule="exact"/>
        <w:ind w:left="0" w:right="0"/>
        <w:textAlignment w:val="auto"/>
        <w:rPr>
          <w:rFonts w:hint="eastAsia" w:ascii="宋体" w:hAnsi="宋体" w:eastAsia="宋体" w:cs="宋体"/>
          <w:spacing w:val="0"/>
          <w:sz w:val="24"/>
          <w:szCs w:val="24"/>
          <w:lang w:val="en-US" w:eastAsia="zh-CN"/>
        </w:rPr>
      </w:pPr>
      <w:r>
        <w:rPr>
          <w:rFonts w:hint="eastAsia" w:ascii="宋体" w:hAnsi="宋体" w:cs="宋体"/>
          <w:spacing w:val="0"/>
          <w:sz w:val="24"/>
          <w:szCs w:val="24"/>
          <w:lang w:val="en-US" w:eastAsia="zh-CN"/>
        </w:rPr>
        <w:t>1、</w:t>
      </w:r>
      <w:r>
        <w:rPr>
          <w:rFonts w:hint="eastAsia" w:ascii="宋体" w:hAnsi="宋体" w:eastAsia="宋体" w:cs="宋体"/>
          <w:spacing w:val="0"/>
          <w:sz w:val="24"/>
          <w:szCs w:val="24"/>
          <w:lang w:val="en-US" w:eastAsia="zh-CN"/>
        </w:rPr>
        <w:t>甲方向乙方采购的钢材具体品种、规格、厂家、产地、数量如下：</w:t>
      </w:r>
    </w:p>
    <w:tbl>
      <w:tblPr>
        <w:tblStyle w:val="11"/>
        <w:tblW w:w="10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4"/>
        <w:gridCol w:w="1915"/>
        <w:gridCol w:w="805"/>
        <w:gridCol w:w="1190"/>
        <w:gridCol w:w="1434"/>
        <w:gridCol w:w="1387"/>
        <w:gridCol w:w="1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exact"/>
          <w:jc w:val="center"/>
        </w:trPr>
        <w:tc>
          <w:tcPr>
            <w:tcW w:w="1554" w:type="dxa"/>
            <w:vAlign w:val="center"/>
          </w:tcPr>
          <w:p>
            <w:pPr>
              <w:spacing w:line="240" w:lineRule="atLeast"/>
              <w:ind w:firstLine="0" w:firstLineChars="0"/>
              <w:jc w:val="center"/>
              <w:rPr>
                <w:rFonts w:hint="default" w:ascii="Times New Roman" w:hAnsi="Times New Roman" w:eastAsia="宋体" w:cs="Times New Roman"/>
                <w:b/>
                <w:bCs/>
                <w:color w:val="000000" w:themeColor="text1"/>
                <w:spacing w:val="0"/>
                <w:sz w:val="24"/>
                <w:szCs w:val="24"/>
                <w14:textFill>
                  <w14:solidFill>
                    <w14:schemeClr w14:val="tx1"/>
                  </w14:solidFill>
                </w14:textFill>
              </w:rPr>
            </w:pPr>
            <w:r>
              <w:rPr>
                <w:rFonts w:hint="default" w:ascii="Times New Roman" w:hAnsi="Times New Roman" w:eastAsia="宋体" w:cs="Times New Roman"/>
                <w:b/>
                <w:bCs/>
                <w:color w:val="000000" w:themeColor="text1"/>
                <w:spacing w:val="0"/>
                <w:sz w:val="24"/>
                <w:szCs w:val="24"/>
                <w14:textFill>
                  <w14:solidFill>
                    <w14:schemeClr w14:val="tx1"/>
                  </w14:solidFill>
                </w14:textFill>
              </w:rPr>
              <w:t>品名</w:t>
            </w:r>
          </w:p>
        </w:tc>
        <w:tc>
          <w:tcPr>
            <w:tcW w:w="1915" w:type="dxa"/>
            <w:vAlign w:val="center"/>
          </w:tcPr>
          <w:p>
            <w:pPr>
              <w:spacing w:line="240" w:lineRule="atLeast"/>
              <w:ind w:firstLine="0" w:firstLineChars="0"/>
              <w:jc w:val="center"/>
              <w:rPr>
                <w:rFonts w:hint="default" w:ascii="Times New Roman" w:hAnsi="Times New Roman" w:eastAsia="宋体" w:cs="Times New Roman"/>
                <w:b/>
                <w:bCs/>
                <w:color w:val="000000" w:themeColor="text1"/>
                <w:spacing w:val="0"/>
                <w:sz w:val="24"/>
                <w:szCs w:val="24"/>
                <w14:textFill>
                  <w14:solidFill>
                    <w14:schemeClr w14:val="tx1"/>
                  </w14:solidFill>
                </w14:textFill>
              </w:rPr>
            </w:pPr>
            <w:r>
              <w:rPr>
                <w:rFonts w:hint="default" w:ascii="Times New Roman" w:hAnsi="Times New Roman" w:eastAsia="宋体" w:cs="Times New Roman"/>
                <w:b/>
                <w:bCs/>
                <w:color w:val="000000" w:themeColor="text1"/>
                <w:spacing w:val="0"/>
                <w:sz w:val="24"/>
                <w:szCs w:val="24"/>
                <w14:textFill>
                  <w14:solidFill>
                    <w14:schemeClr w14:val="tx1"/>
                  </w14:solidFill>
                </w14:textFill>
              </w:rPr>
              <w:t>规格</w:t>
            </w:r>
          </w:p>
        </w:tc>
        <w:tc>
          <w:tcPr>
            <w:tcW w:w="805" w:type="dxa"/>
            <w:vAlign w:val="center"/>
          </w:tcPr>
          <w:p>
            <w:pPr>
              <w:spacing w:line="240" w:lineRule="atLeast"/>
              <w:ind w:firstLine="0" w:firstLineChars="0"/>
              <w:jc w:val="center"/>
              <w:rPr>
                <w:rFonts w:hint="default" w:ascii="Times New Roman" w:hAnsi="Times New Roman" w:eastAsia="宋体" w:cs="Times New Roman"/>
                <w:b/>
                <w:bCs/>
                <w:color w:val="000000" w:themeColor="text1"/>
                <w:spacing w:val="0"/>
                <w:sz w:val="24"/>
                <w:szCs w:val="24"/>
                <w14:textFill>
                  <w14:solidFill>
                    <w14:schemeClr w14:val="tx1"/>
                  </w14:solidFill>
                </w14:textFill>
              </w:rPr>
            </w:pPr>
            <w:r>
              <w:rPr>
                <w:rFonts w:hint="default" w:ascii="Times New Roman" w:hAnsi="Times New Roman" w:eastAsia="宋体" w:cs="Times New Roman"/>
                <w:b/>
                <w:bCs/>
                <w:color w:val="000000" w:themeColor="text1"/>
                <w:spacing w:val="0"/>
                <w:sz w:val="24"/>
                <w:szCs w:val="24"/>
                <w14:textFill>
                  <w14:solidFill>
                    <w14:schemeClr w14:val="tx1"/>
                  </w14:solidFill>
                </w14:textFill>
              </w:rPr>
              <w:t>单位</w:t>
            </w:r>
          </w:p>
        </w:tc>
        <w:tc>
          <w:tcPr>
            <w:tcW w:w="1190" w:type="dxa"/>
            <w:vAlign w:val="center"/>
          </w:tcPr>
          <w:p>
            <w:pPr>
              <w:spacing w:line="240" w:lineRule="atLeast"/>
              <w:ind w:firstLine="0" w:firstLineChars="0"/>
              <w:jc w:val="center"/>
              <w:rPr>
                <w:rFonts w:hint="default" w:ascii="Times New Roman" w:hAnsi="Times New Roman" w:eastAsia="宋体" w:cs="Times New Roman"/>
                <w:b/>
                <w:bCs/>
                <w:color w:val="000000" w:themeColor="text1"/>
                <w:spacing w:val="0"/>
                <w:sz w:val="24"/>
                <w:szCs w:val="24"/>
                <w14:textFill>
                  <w14:solidFill>
                    <w14:schemeClr w14:val="tx1"/>
                  </w14:solidFill>
                </w14:textFill>
              </w:rPr>
            </w:pPr>
            <w:r>
              <w:rPr>
                <w:rFonts w:hint="default" w:ascii="Times New Roman" w:hAnsi="Times New Roman" w:eastAsia="宋体" w:cs="Times New Roman"/>
                <w:b/>
                <w:bCs/>
                <w:color w:val="000000" w:themeColor="text1"/>
                <w:spacing w:val="0"/>
                <w:sz w:val="24"/>
                <w:szCs w:val="24"/>
                <w14:textFill>
                  <w14:solidFill>
                    <w14:schemeClr w14:val="tx1"/>
                  </w14:solidFill>
                </w14:textFill>
              </w:rPr>
              <w:t>暂定数量</w:t>
            </w:r>
          </w:p>
        </w:tc>
        <w:tc>
          <w:tcPr>
            <w:tcW w:w="1434" w:type="dxa"/>
            <w:vAlign w:val="center"/>
          </w:tcPr>
          <w:p>
            <w:pPr>
              <w:spacing w:line="240" w:lineRule="atLeast"/>
              <w:ind w:firstLine="0" w:firstLineChars="0"/>
              <w:jc w:val="center"/>
              <w:rPr>
                <w:rFonts w:hint="default" w:ascii="Times New Roman" w:hAnsi="Times New Roman" w:eastAsia="宋体" w:cs="Times New Roman"/>
                <w:b/>
                <w:bCs/>
                <w:color w:val="000000" w:themeColor="text1"/>
                <w:spacing w:val="0"/>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pacing w:val="0"/>
                <w:sz w:val="24"/>
                <w:szCs w:val="24"/>
                <w:lang w:val="en-US" w:eastAsia="zh-CN"/>
                <w14:textFill>
                  <w14:solidFill>
                    <w14:schemeClr w14:val="tx1"/>
                  </w14:solidFill>
                </w14:textFill>
              </w:rPr>
              <w:t>基准价品牌</w:t>
            </w:r>
          </w:p>
        </w:tc>
        <w:tc>
          <w:tcPr>
            <w:tcW w:w="1387" w:type="dxa"/>
            <w:vAlign w:val="center"/>
          </w:tcPr>
          <w:p>
            <w:pPr>
              <w:spacing w:line="240" w:lineRule="atLeast"/>
              <w:ind w:firstLine="0" w:firstLineChars="0"/>
              <w:jc w:val="center"/>
              <w:rPr>
                <w:rFonts w:hint="default" w:ascii="Times New Roman" w:hAnsi="Times New Roman" w:eastAsia="宋体" w:cs="Times New Roman"/>
                <w:b/>
                <w:bCs/>
                <w:color w:val="000000" w:themeColor="text1"/>
                <w:spacing w:val="0"/>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pacing w:val="0"/>
                <w:sz w:val="24"/>
                <w:szCs w:val="24"/>
                <w:lang w:val="en-US" w:eastAsia="zh-CN"/>
                <w14:textFill>
                  <w14:solidFill>
                    <w14:schemeClr w14:val="tx1"/>
                  </w14:solidFill>
                </w14:textFill>
              </w:rPr>
              <w:t>基准价</w:t>
            </w:r>
          </w:p>
          <w:p>
            <w:pPr>
              <w:spacing w:line="240" w:lineRule="atLeast"/>
              <w:ind w:firstLine="0" w:firstLineChars="0"/>
              <w:jc w:val="center"/>
              <w:rPr>
                <w:rFonts w:hint="default" w:ascii="Times New Roman" w:hAnsi="Times New Roman" w:eastAsia="宋体" w:cs="Times New Roman"/>
                <w:b/>
                <w:bCs/>
                <w:color w:val="000000" w:themeColor="text1"/>
                <w:spacing w:val="0"/>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pacing w:val="0"/>
                <w:sz w:val="24"/>
                <w:szCs w:val="24"/>
                <w:lang w:val="en-US" w:eastAsia="zh-CN"/>
                <w14:textFill>
                  <w14:solidFill>
                    <w14:schemeClr w14:val="tx1"/>
                  </w14:solidFill>
                </w14:textFill>
              </w:rPr>
              <w:t>（元/吨）</w:t>
            </w:r>
          </w:p>
        </w:tc>
        <w:tc>
          <w:tcPr>
            <w:tcW w:w="1853" w:type="dxa"/>
            <w:vAlign w:val="center"/>
          </w:tcPr>
          <w:p>
            <w:pPr>
              <w:spacing w:line="240" w:lineRule="atLeast"/>
              <w:ind w:left="244" w:leftChars="0" w:hanging="244" w:hangingChars="100"/>
              <w:jc w:val="center"/>
              <w:rPr>
                <w:rFonts w:hint="default" w:ascii="Times New Roman" w:hAnsi="Times New Roman" w:eastAsia="宋体" w:cs="Times New Roman"/>
                <w:b/>
                <w:bCs/>
                <w:color w:val="000000" w:themeColor="text1"/>
                <w:spacing w:val="0"/>
                <w:sz w:val="24"/>
                <w:szCs w:val="24"/>
                <w:lang w:val="en-US" w:eastAsia="zh-CN"/>
                <w14:textFill>
                  <w14:solidFill>
                    <w14:schemeClr w14:val="tx1"/>
                  </w14:solidFill>
                </w14:textFill>
              </w:rPr>
            </w:pPr>
            <w:r>
              <w:rPr>
                <w:rFonts w:hint="default" w:ascii="Times New Roman" w:hAnsi="Times New Roman" w:eastAsia="宋体" w:cs="Times New Roman"/>
                <w:spacing w:val="2"/>
                <w:sz w:val="24"/>
                <w:szCs w:val="24"/>
              </w:rPr>
              <w:t>上下(±)浮动</w:t>
            </w:r>
            <w:r>
              <w:rPr>
                <w:rFonts w:hint="default" w:ascii="Times New Roman" w:hAnsi="Times New Roman" w:eastAsia="宋体" w:cs="Times New Roman"/>
                <w:spacing w:val="1"/>
                <w:sz w:val="24"/>
                <w:szCs w:val="24"/>
              </w:rPr>
              <w:t xml:space="preserve"> </w:t>
            </w:r>
            <w:r>
              <w:rPr>
                <w:rFonts w:hint="default" w:ascii="Times New Roman" w:hAnsi="Times New Roman" w:eastAsia="宋体" w:cs="Times New Roman"/>
                <w:spacing w:val="7"/>
                <w:sz w:val="24"/>
                <w:szCs w:val="24"/>
              </w:rPr>
              <w:t>金额(元/吨)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54"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w:t>
            </w:r>
            <w:r>
              <w:rPr>
                <w:rFonts w:hint="default" w:ascii="Times New Roman" w:hAnsi="Times New Roman" w:eastAsia="宋体" w:cs="Times New Roman"/>
                <w:color w:val="000000" w:themeColor="text1"/>
                <w:spacing w:val="0"/>
                <w:sz w:val="24"/>
                <w:szCs w:val="24"/>
                <w:lang w:val="en-US" w:eastAsia="zh-CN"/>
                <w14:textFill>
                  <w14:solidFill>
                    <w14:schemeClr w14:val="tx1"/>
                  </w14:solidFill>
                </w14:textFill>
              </w:rPr>
              <w:t>光圆</w:t>
            </w:r>
            <w:r>
              <w:rPr>
                <w:rFonts w:hint="default" w:ascii="Times New Roman" w:hAnsi="Times New Roman" w:eastAsia="宋体" w:cs="Times New Roman"/>
                <w:color w:val="000000" w:themeColor="text1"/>
                <w:spacing w:val="0"/>
                <w:sz w:val="24"/>
                <w:szCs w:val="24"/>
                <w14:textFill>
                  <w14:solidFill>
                    <w14:schemeClr w14:val="tx1"/>
                  </w14:solidFill>
                </w14:textFill>
              </w:rPr>
              <w:t>钢筋</w:t>
            </w:r>
          </w:p>
        </w:tc>
        <w:tc>
          <w:tcPr>
            <w:tcW w:w="1915"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w:t>
            </w:r>
            <w:r>
              <w:rPr>
                <w:rFonts w:hint="default" w:ascii="Times New Roman" w:hAnsi="Times New Roman" w:eastAsia="宋体" w:cs="Times New Roman"/>
                <w:color w:val="000000" w:themeColor="text1"/>
                <w:spacing w:val="0"/>
                <w:sz w:val="24"/>
                <w:szCs w:val="24"/>
                <w:lang w:val="en-US" w:eastAsia="zh-CN"/>
                <w14:textFill>
                  <w14:solidFill>
                    <w14:schemeClr w14:val="tx1"/>
                  </w14:solidFill>
                </w14:textFill>
              </w:rPr>
              <w:t>P</w:t>
            </w:r>
            <w:r>
              <w:rPr>
                <w:rFonts w:hint="default" w:ascii="Times New Roman" w:hAnsi="Times New Roman" w:eastAsia="宋体" w:cs="Times New Roman"/>
                <w:color w:val="000000" w:themeColor="text1"/>
                <w:spacing w:val="0"/>
                <w:sz w:val="24"/>
                <w:szCs w:val="24"/>
                <w14:textFill>
                  <w14:solidFill>
                    <w14:schemeClr w14:val="tx1"/>
                  </w14:solidFill>
                </w14:textFill>
              </w:rPr>
              <w:t>B300直径10mm</w:t>
            </w:r>
          </w:p>
        </w:tc>
        <w:tc>
          <w:tcPr>
            <w:tcW w:w="805"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190" w:type="dxa"/>
            <w:vAlign w:val="center"/>
          </w:tcPr>
          <w:p>
            <w:pPr>
              <w:spacing w:line="240" w:lineRule="auto"/>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20</w:t>
            </w:r>
          </w:p>
        </w:tc>
        <w:tc>
          <w:tcPr>
            <w:tcW w:w="1434"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lang w:val="en-US" w:eastAsia="zh-CN"/>
              </w:rPr>
            </w:pPr>
            <w:r>
              <w:rPr>
                <w:rFonts w:hint="default" w:ascii="Times New Roman" w:hAnsi="Times New Roman" w:eastAsia="宋体" w:cs="Times New Roman"/>
                <w:sz w:val="24"/>
                <w:szCs w:val="24"/>
                <w:lang w:val="en-US" w:eastAsia="zh-CN" w:bidi="ar"/>
              </w:rPr>
              <w:t>江苏镔鑫</w:t>
            </w:r>
          </w:p>
        </w:tc>
        <w:tc>
          <w:tcPr>
            <w:tcW w:w="1387"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lang w:val="en-US" w:eastAsia="zh-CN"/>
              </w:rPr>
            </w:pPr>
            <w:r>
              <w:rPr>
                <w:rFonts w:hint="default" w:ascii="Times New Roman" w:hAnsi="Times New Roman" w:eastAsia="宋体" w:cs="Times New Roman"/>
                <w:sz w:val="24"/>
                <w:szCs w:val="24"/>
                <w:lang w:val="en-US" w:eastAsia="zh-CN" w:bidi="ar"/>
              </w:rPr>
              <w:t>3280</w:t>
            </w:r>
          </w:p>
        </w:tc>
        <w:tc>
          <w:tcPr>
            <w:tcW w:w="1853" w:type="dxa"/>
            <w:vMerge w:val="restart"/>
            <w:vAlign w:val="center"/>
          </w:tcPr>
          <w:p>
            <w:pPr>
              <w:spacing w:line="240" w:lineRule="auto"/>
              <w:ind w:firstLine="0" w:firstLineChars="0"/>
              <w:jc w:val="center"/>
              <w:rPr>
                <w:rFonts w:hint="default" w:ascii="Times New Roman" w:hAnsi="Times New Roman" w:eastAsia="宋体" w:cs="Times New Roman"/>
                <w:color w:val="000000"/>
                <w:spacing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54"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热轧带肋钢筋</w:t>
            </w:r>
          </w:p>
        </w:tc>
        <w:tc>
          <w:tcPr>
            <w:tcW w:w="1915"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HRB400直径10mm</w:t>
            </w:r>
          </w:p>
        </w:tc>
        <w:tc>
          <w:tcPr>
            <w:tcW w:w="805"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190" w:type="dxa"/>
            <w:vAlign w:val="center"/>
          </w:tcPr>
          <w:p>
            <w:pPr>
              <w:spacing w:line="240" w:lineRule="auto"/>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2</w:t>
            </w:r>
          </w:p>
        </w:tc>
        <w:tc>
          <w:tcPr>
            <w:tcW w:w="1434"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rPr>
            </w:pPr>
            <w:r>
              <w:rPr>
                <w:rFonts w:hint="default" w:ascii="Times New Roman" w:hAnsi="Times New Roman" w:eastAsia="宋体" w:cs="Times New Roman"/>
                <w:sz w:val="24"/>
                <w:szCs w:val="24"/>
                <w:lang w:val="en-US" w:eastAsia="zh-CN"/>
              </w:rPr>
              <w:t>日照</w:t>
            </w:r>
          </w:p>
        </w:tc>
        <w:tc>
          <w:tcPr>
            <w:tcW w:w="1387"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lang w:val="en-US" w:eastAsia="zh-CN"/>
              </w:rPr>
            </w:pPr>
            <w:r>
              <w:rPr>
                <w:rFonts w:hint="default" w:ascii="Times New Roman" w:hAnsi="Times New Roman" w:eastAsia="宋体" w:cs="Times New Roman"/>
                <w:sz w:val="24"/>
                <w:szCs w:val="24"/>
                <w:lang w:val="en-US" w:eastAsia="zh-CN" w:bidi="ar"/>
              </w:rPr>
              <w:t>3130</w:t>
            </w:r>
          </w:p>
        </w:tc>
        <w:tc>
          <w:tcPr>
            <w:tcW w:w="1853" w:type="dxa"/>
            <w:vMerge w:val="continue"/>
            <w:vAlign w:val="center"/>
          </w:tcPr>
          <w:p>
            <w:pPr>
              <w:spacing w:line="240" w:lineRule="auto"/>
              <w:ind w:firstLine="0" w:firstLineChars="0"/>
              <w:jc w:val="center"/>
              <w:rPr>
                <w:rFonts w:hint="default" w:ascii="Times New Roman" w:hAnsi="Times New Roman" w:eastAsia="宋体" w:cs="Times New Roman"/>
                <w:color w:val="000000"/>
                <w:spacing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1554"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热轧带肋钢筋</w:t>
            </w:r>
          </w:p>
        </w:tc>
        <w:tc>
          <w:tcPr>
            <w:tcW w:w="1915"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HRB400直径12mm</w:t>
            </w:r>
          </w:p>
        </w:tc>
        <w:tc>
          <w:tcPr>
            <w:tcW w:w="805"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190" w:type="dxa"/>
            <w:vAlign w:val="center"/>
          </w:tcPr>
          <w:p>
            <w:pPr>
              <w:spacing w:line="240" w:lineRule="auto"/>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10</w:t>
            </w:r>
          </w:p>
        </w:tc>
        <w:tc>
          <w:tcPr>
            <w:tcW w:w="1434"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rPr>
            </w:pPr>
            <w:r>
              <w:rPr>
                <w:rFonts w:hint="default" w:ascii="Times New Roman" w:hAnsi="Times New Roman" w:eastAsia="宋体" w:cs="Times New Roman"/>
                <w:sz w:val="24"/>
                <w:szCs w:val="24"/>
              </w:rPr>
              <w:t>安徽富鑫</w:t>
            </w:r>
          </w:p>
        </w:tc>
        <w:tc>
          <w:tcPr>
            <w:tcW w:w="1387"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lang w:val="en-US" w:eastAsia="zh-CN"/>
              </w:rPr>
            </w:pPr>
            <w:r>
              <w:rPr>
                <w:rFonts w:hint="default" w:ascii="Times New Roman" w:hAnsi="Times New Roman" w:eastAsia="宋体" w:cs="Times New Roman"/>
                <w:sz w:val="24"/>
                <w:szCs w:val="24"/>
                <w:lang w:val="en-US" w:eastAsia="zh-CN" w:bidi="ar"/>
              </w:rPr>
              <w:t>3130</w:t>
            </w:r>
          </w:p>
        </w:tc>
        <w:tc>
          <w:tcPr>
            <w:tcW w:w="1853" w:type="dxa"/>
            <w:vMerge w:val="continue"/>
            <w:vAlign w:val="center"/>
          </w:tcPr>
          <w:p>
            <w:pPr>
              <w:spacing w:line="240" w:lineRule="auto"/>
              <w:ind w:firstLine="0" w:firstLineChars="0"/>
              <w:jc w:val="center"/>
              <w:rPr>
                <w:rFonts w:hint="default" w:ascii="Times New Roman" w:hAnsi="Times New Roman" w:eastAsia="宋体" w:cs="Times New Roman"/>
                <w:color w:val="000000"/>
                <w:spacing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54"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热轧带肋钢筋</w:t>
            </w:r>
          </w:p>
        </w:tc>
        <w:tc>
          <w:tcPr>
            <w:tcW w:w="1915"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HRB400直径14mm</w:t>
            </w:r>
          </w:p>
        </w:tc>
        <w:tc>
          <w:tcPr>
            <w:tcW w:w="805"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190" w:type="dxa"/>
            <w:vAlign w:val="center"/>
          </w:tcPr>
          <w:p>
            <w:pPr>
              <w:spacing w:line="240" w:lineRule="auto"/>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160</w:t>
            </w:r>
          </w:p>
        </w:tc>
        <w:tc>
          <w:tcPr>
            <w:tcW w:w="1434"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rPr>
            </w:pPr>
            <w:r>
              <w:rPr>
                <w:rFonts w:hint="default" w:ascii="Times New Roman" w:hAnsi="Times New Roman" w:eastAsia="宋体" w:cs="Times New Roman"/>
                <w:sz w:val="24"/>
                <w:szCs w:val="24"/>
              </w:rPr>
              <w:t>安徽富鑫</w:t>
            </w:r>
          </w:p>
        </w:tc>
        <w:tc>
          <w:tcPr>
            <w:tcW w:w="1387"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lang w:val="en-US" w:eastAsia="zh-CN"/>
              </w:rPr>
            </w:pPr>
            <w:r>
              <w:rPr>
                <w:rFonts w:hint="default" w:ascii="Times New Roman" w:hAnsi="Times New Roman" w:eastAsia="宋体" w:cs="Times New Roman"/>
                <w:sz w:val="24"/>
                <w:szCs w:val="24"/>
                <w:lang w:val="en-US" w:eastAsia="zh-CN" w:bidi="ar"/>
              </w:rPr>
              <w:t>3130</w:t>
            </w:r>
          </w:p>
        </w:tc>
        <w:tc>
          <w:tcPr>
            <w:tcW w:w="1853" w:type="dxa"/>
            <w:vMerge w:val="continue"/>
            <w:vAlign w:val="center"/>
          </w:tcPr>
          <w:p>
            <w:pPr>
              <w:spacing w:line="240" w:lineRule="auto"/>
              <w:ind w:firstLine="0" w:firstLineChars="0"/>
              <w:jc w:val="center"/>
              <w:rPr>
                <w:rFonts w:hint="default" w:ascii="Times New Roman" w:hAnsi="Times New Roman" w:eastAsia="宋体" w:cs="Times New Roman"/>
                <w:color w:val="000000"/>
                <w:spacing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54"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热轧带肋钢筋</w:t>
            </w:r>
          </w:p>
        </w:tc>
        <w:tc>
          <w:tcPr>
            <w:tcW w:w="1915"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HRB400直径16mm</w:t>
            </w:r>
          </w:p>
        </w:tc>
        <w:tc>
          <w:tcPr>
            <w:tcW w:w="805"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190" w:type="dxa"/>
            <w:vAlign w:val="center"/>
          </w:tcPr>
          <w:p>
            <w:pPr>
              <w:spacing w:line="240" w:lineRule="auto"/>
              <w:ind w:firstLine="0" w:firstLineChars="0"/>
              <w:jc w:val="center"/>
              <w:textAlignment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160</w:t>
            </w:r>
          </w:p>
        </w:tc>
        <w:tc>
          <w:tcPr>
            <w:tcW w:w="1434"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rPr>
            </w:pPr>
            <w:r>
              <w:rPr>
                <w:rFonts w:hint="default" w:ascii="Times New Roman" w:hAnsi="Times New Roman" w:eastAsia="宋体" w:cs="Times New Roman"/>
                <w:sz w:val="24"/>
                <w:szCs w:val="24"/>
              </w:rPr>
              <w:t>安徽富鑫</w:t>
            </w:r>
          </w:p>
        </w:tc>
        <w:tc>
          <w:tcPr>
            <w:tcW w:w="1387"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lang w:val="en-US" w:eastAsia="zh-CN"/>
              </w:rPr>
            </w:pPr>
            <w:r>
              <w:rPr>
                <w:rFonts w:hint="default" w:ascii="Times New Roman" w:hAnsi="Times New Roman" w:eastAsia="宋体" w:cs="Times New Roman"/>
                <w:sz w:val="24"/>
                <w:szCs w:val="24"/>
                <w:lang w:val="en-US" w:eastAsia="zh-CN" w:bidi="ar"/>
              </w:rPr>
              <w:t>3050</w:t>
            </w:r>
          </w:p>
        </w:tc>
        <w:tc>
          <w:tcPr>
            <w:tcW w:w="1853" w:type="dxa"/>
            <w:vMerge w:val="continue"/>
            <w:vAlign w:val="center"/>
          </w:tcPr>
          <w:p>
            <w:pPr>
              <w:spacing w:line="240" w:lineRule="auto"/>
              <w:ind w:firstLine="0" w:firstLineChars="0"/>
              <w:jc w:val="center"/>
              <w:textAlignment w:val="center"/>
              <w:rPr>
                <w:rFonts w:hint="default" w:ascii="Times New Roman" w:hAnsi="Times New Roman" w:eastAsia="宋体" w:cs="Times New Roman"/>
                <w:color w:val="000000"/>
                <w:spacing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54"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热轧带肋钢筋</w:t>
            </w:r>
          </w:p>
        </w:tc>
        <w:tc>
          <w:tcPr>
            <w:tcW w:w="1915"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HRB400直径18mm</w:t>
            </w:r>
          </w:p>
        </w:tc>
        <w:tc>
          <w:tcPr>
            <w:tcW w:w="805"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190" w:type="dxa"/>
            <w:vAlign w:val="center"/>
          </w:tcPr>
          <w:p>
            <w:pPr>
              <w:spacing w:line="240" w:lineRule="auto"/>
              <w:ind w:firstLine="0" w:firstLineChars="0"/>
              <w:jc w:val="center"/>
              <w:textAlignment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4</w:t>
            </w:r>
          </w:p>
        </w:tc>
        <w:tc>
          <w:tcPr>
            <w:tcW w:w="1434"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rPr>
            </w:pPr>
            <w:r>
              <w:rPr>
                <w:rFonts w:hint="default" w:ascii="Times New Roman" w:hAnsi="Times New Roman" w:eastAsia="宋体" w:cs="Times New Roman"/>
                <w:sz w:val="24"/>
                <w:szCs w:val="24"/>
              </w:rPr>
              <w:t>安徽富鑫</w:t>
            </w:r>
          </w:p>
        </w:tc>
        <w:tc>
          <w:tcPr>
            <w:tcW w:w="1387"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lang w:val="en-US" w:eastAsia="zh-CN"/>
              </w:rPr>
            </w:pPr>
            <w:r>
              <w:rPr>
                <w:rFonts w:hint="default" w:ascii="Times New Roman" w:hAnsi="Times New Roman" w:eastAsia="宋体" w:cs="Times New Roman"/>
                <w:sz w:val="24"/>
                <w:szCs w:val="24"/>
                <w:lang w:val="en-US" w:eastAsia="zh-CN" w:bidi="ar"/>
              </w:rPr>
              <w:t>3050</w:t>
            </w:r>
          </w:p>
        </w:tc>
        <w:tc>
          <w:tcPr>
            <w:tcW w:w="1853" w:type="dxa"/>
            <w:vMerge w:val="continue"/>
            <w:vAlign w:val="center"/>
          </w:tcPr>
          <w:p>
            <w:pPr>
              <w:spacing w:line="240" w:lineRule="auto"/>
              <w:ind w:firstLine="0" w:firstLineChars="0"/>
              <w:jc w:val="center"/>
              <w:textAlignment w:val="center"/>
              <w:rPr>
                <w:rFonts w:hint="default" w:ascii="Times New Roman" w:hAnsi="Times New Roman" w:eastAsia="宋体" w:cs="Times New Roman"/>
                <w:color w:val="000000"/>
                <w:spacing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54"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热轧带肋钢筋</w:t>
            </w:r>
          </w:p>
        </w:tc>
        <w:tc>
          <w:tcPr>
            <w:tcW w:w="1915"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HRB400直径20mm</w:t>
            </w:r>
          </w:p>
        </w:tc>
        <w:tc>
          <w:tcPr>
            <w:tcW w:w="805"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190" w:type="dxa"/>
            <w:vAlign w:val="center"/>
          </w:tcPr>
          <w:p>
            <w:pPr>
              <w:spacing w:line="240" w:lineRule="auto"/>
              <w:ind w:firstLine="0" w:firstLineChars="0"/>
              <w:jc w:val="center"/>
              <w:textAlignment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4</w:t>
            </w:r>
          </w:p>
        </w:tc>
        <w:tc>
          <w:tcPr>
            <w:tcW w:w="1434"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rPr>
            </w:pPr>
            <w:r>
              <w:rPr>
                <w:rFonts w:hint="default" w:ascii="Times New Roman" w:hAnsi="Times New Roman" w:eastAsia="宋体" w:cs="Times New Roman"/>
                <w:sz w:val="24"/>
                <w:szCs w:val="24"/>
              </w:rPr>
              <w:t>安徽富鑫</w:t>
            </w:r>
          </w:p>
        </w:tc>
        <w:tc>
          <w:tcPr>
            <w:tcW w:w="1387"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lang w:val="en-US" w:eastAsia="zh-CN"/>
              </w:rPr>
            </w:pPr>
            <w:r>
              <w:rPr>
                <w:rFonts w:hint="default" w:ascii="Times New Roman" w:hAnsi="Times New Roman" w:eastAsia="宋体" w:cs="Times New Roman"/>
                <w:sz w:val="24"/>
                <w:szCs w:val="24"/>
                <w:lang w:val="en-US" w:eastAsia="zh-CN" w:bidi="ar"/>
              </w:rPr>
              <w:t>3050</w:t>
            </w:r>
          </w:p>
        </w:tc>
        <w:tc>
          <w:tcPr>
            <w:tcW w:w="1853" w:type="dxa"/>
            <w:vMerge w:val="continue"/>
            <w:vAlign w:val="center"/>
          </w:tcPr>
          <w:p>
            <w:pPr>
              <w:spacing w:line="240" w:lineRule="auto"/>
              <w:ind w:firstLine="0" w:firstLineChars="0"/>
              <w:jc w:val="center"/>
              <w:textAlignment w:val="center"/>
              <w:rPr>
                <w:rFonts w:hint="default" w:ascii="Times New Roman" w:hAnsi="Times New Roman" w:eastAsia="宋体" w:cs="Times New Roman"/>
                <w:color w:val="000000"/>
                <w:spacing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1554"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热轧带肋钢筋</w:t>
            </w:r>
          </w:p>
        </w:tc>
        <w:tc>
          <w:tcPr>
            <w:tcW w:w="1915"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HRB400直径22mm</w:t>
            </w:r>
          </w:p>
        </w:tc>
        <w:tc>
          <w:tcPr>
            <w:tcW w:w="805"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190" w:type="dxa"/>
            <w:vAlign w:val="center"/>
          </w:tcPr>
          <w:p>
            <w:pPr>
              <w:spacing w:line="240" w:lineRule="auto"/>
              <w:ind w:firstLine="0" w:firstLineChars="0"/>
              <w:jc w:val="center"/>
              <w:textAlignment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30</w:t>
            </w:r>
          </w:p>
        </w:tc>
        <w:tc>
          <w:tcPr>
            <w:tcW w:w="1434"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rPr>
            </w:pPr>
            <w:r>
              <w:rPr>
                <w:rFonts w:hint="default" w:ascii="Times New Roman" w:hAnsi="Times New Roman" w:eastAsia="宋体" w:cs="Times New Roman"/>
                <w:sz w:val="24"/>
                <w:szCs w:val="24"/>
              </w:rPr>
              <w:t>安徽富鑫</w:t>
            </w:r>
          </w:p>
        </w:tc>
        <w:tc>
          <w:tcPr>
            <w:tcW w:w="1387"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lang w:val="en-US" w:eastAsia="zh-CN"/>
              </w:rPr>
            </w:pPr>
            <w:r>
              <w:rPr>
                <w:rFonts w:hint="default" w:ascii="Times New Roman" w:hAnsi="Times New Roman" w:eastAsia="宋体" w:cs="Times New Roman"/>
                <w:sz w:val="24"/>
                <w:szCs w:val="24"/>
                <w:lang w:val="en-US" w:eastAsia="zh-CN" w:bidi="ar"/>
              </w:rPr>
              <w:t>3050</w:t>
            </w:r>
          </w:p>
        </w:tc>
        <w:tc>
          <w:tcPr>
            <w:tcW w:w="1853" w:type="dxa"/>
            <w:vMerge w:val="continue"/>
            <w:vAlign w:val="center"/>
          </w:tcPr>
          <w:p>
            <w:pPr>
              <w:spacing w:line="240" w:lineRule="auto"/>
              <w:ind w:firstLine="0" w:firstLineChars="0"/>
              <w:jc w:val="center"/>
              <w:textAlignment w:val="center"/>
              <w:rPr>
                <w:rFonts w:hint="default" w:ascii="Times New Roman" w:hAnsi="Times New Roman" w:eastAsia="宋体" w:cs="Times New Roman"/>
                <w:color w:val="000000"/>
                <w:spacing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54"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热轧带肋钢筋</w:t>
            </w:r>
          </w:p>
        </w:tc>
        <w:tc>
          <w:tcPr>
            <w:tcW w:w="1915"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HRB400直径25mm</w:t>
            </w:r>
          </w:p>
        </w:tc>
        <w:tc>
          <w:tcPr>
            <w:tcW w:w="805"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t</w:t>
            </w:r>
          </w:p>
        </w:tc>
        <w:tc>
          <w:tcPr>
            <w:tcW w:w="1190" w:type="dxa"/>
            <w:vAlign w:val="center"/>
          </w:tcPr>
          <w:p>
            <w:pPr>
              <w:spacing w:line="240" w:lineRule="auto"/>
              <w:ind w:firstLine="0" w:firstLineChars="0"/>
              <w:jc w:val="center"/>
              <w:textAlignment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spacing w:val="0"/>
                <w:sz w:val="24"/>
                <w:szCs w:val="24"/>
              </w:rPr>
              <w:t>60</w:t>
            </w:r>
          </w:p>
        </w:tc>
        <w:tc>
          <w:tcPr>
            <w:tcW w:w="1434"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rPr>
            </w:pPr>
            <w:r>
              <w:rPr>
                <w:rFonts w:hint="default" w:ascii="Times New Roman" w:hAnsi="Times New Roman" w:eastAsia="宋体" w:cs="Times New Roman"/>
                <w:sz w:val="24"/>
                <w:szCs w:val="24"/>
              </w:rPr>
              <w:t>安徽富鑫</w:t>
            </w:r>
          </w:p>
        </w:tc>
        <w:tc>
          <w:tcPr>
            <w:tcW w:w="1387" w:type="dxa"/>
            <w:vAlign w:val="center"/>
          </w:tcPr>
          <w:p>
            <w:pPr>
              <w:spacing w:line="320" w:lineRule="exact"/>
              <w:ind w:firstLine="0" w:firstLineChars="0"/>
              <w:jc w:val="center"/>
              <w:textAlignment w:val="center"/>
              <w:rPr>
                <w:rFonts w:hint="default" w:ascii="Times New Roman" w:hAnsi="Times New Roman" w:eastAsia="宋体" w:cs="Times New Roman"/>
                <w:color w:val="000000"/>
                <w:spacing w:val="0"/>
                <w:sz w:val="24"/>
                <w:szCs w:val="24"/>
                <w:lang w:val="en-US" w:eastAsia="zh-CN"/>
              </w:rPr>
            </w:pPr>
            <w:r>
              <w:rPr>
                <w:rFonts w:hint="default" w:ascii="Times New Roman" w:hAnsi="Times New Roman" w:eastAsia="宋体" w:cs="Times New Roman"/>
                <w:sz w:val="24"/>
                <w:szCs w:val="24"/>
                <w:lang w:val="en-US" w:eastAsia="zh-CN" w:bidi="ar"/>
              </w:rPr>
              <w:t>3050</w:t>
            </w:r>
          </w:p>
        </w:tc>
        <w:tc>
          <w:tcPr>
            <w:tcW w:w="1853" w:type="dxa"/>
            <w:vMerge w:val="continue"/>
            <w:vAlign w:val="center"/>
          </w:tcPr>
          <w:p>
            <w:pPr>
              <w:spacing w:line="240" w:lineRule="auto"/>
              <w:ind w:firstLine="0" w:firstLineChars="0"/>
              <w:jc w:val="center"/>
              <w:textAlignment w:val="center"/>
              <w:rPr>
                <w:rFonts w:hint="default" w:ascii="Times New Roman" w:hAnsi="Times New Roman" w:eastAsia="宋体" w:cs="Times New Roman"/>
                <w:color w:val="000000"/>
                <w:spacing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554"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14:textFill>
                  <w14:solidFill>
                    <w14:schemeClr w14:val="tx1"/>
                  </w14:solidFill>
                </w14:textFill>
              </w:rPr>
            </w:pPr>
          </w:p>
        </w:tc>
        <w:tc>
          <w:tcPr>
            <w:tcW w:w="1915" w:type="dxa"/>
            <w:vAlign w:val="center"/>
          </w:tcPr>
          <w:p>
            <w:pPr>
              <w:pStyle w:val="6"/>
              <w:spacing w:line="240" w:lineRule="atLeast"/>
              <w:jc w:val="center"/>
              <w:rPr>
                <w:rFonts w:hint="default" w:ascii="Times New Roman" w:hAnsi="Times New Roman" w:eastAsia="宋体" w:cs="Times New Roman"/>
                <w:color w:val="000000" w:themeColor="text1"/>
                <w:spacing w:val="0"/>
                <w:sz w:val="24"/>
                <w:szCs w:val="24"/>
                <w14:textFill>
                  <w14:solidFill>
                    <w14:schemeClr w14:val="tx1"/>
                  </w14:solidFill>
                </w14:textFill>
              </w:rPr>
            </w:pPr>
            <w:r>
              <w:rPr>
                <w:rFonts w:hint="default" w:ascii="Times New Roman" w:hAnsi="Times New Roman" w:eastAsia="宋体" w:cs="Times New Roman"/>
                <w:color w:val="000000" w:themeColor="text1"/>
                <w:spacing w:val="0"/>
                <w:sz w:val="24"/>
                <w:szCs w:val="24"/>
                <w14:textFill>
                  <w14:solidFill>
                    <w14:schemeClr w14:val="tx1"/>
                  </w14:solidFill>
                </w14:textFill>
              </w:rPr>
              <w:t>合计</w:t>
            </w:r>
          </w:p>
        </w:tc>
        <w:tc>
          <w:tcPr>
            <w:tcW w:w="805" w:type="dxa"/>
            <w:vAlign w:val="center"/>
          </w:tcPr>
          <w:p>
            <w:pPr>
              <w:spacing w:line="240" w:lineRule="atLeast"/>
              <w:ind w:firstLine="0" w:firstLineChars="0"/>
              <w:jc w:val="center"/>
              <w:rPr>
                <w:rFonts w:hint="default" w:ascii="Times New Roman" w:hAnsi="Times New Roman" w:eastAsia="宋体" w:cs="Times New Roman"/>
                <w:color w:val="000000" w:themeColor="text1"/>
                <w:spacing w:val="0"/>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4"/>
                <w:szCs w:val="24"/>
                <w:lang w:val="en-US" w:eastAsia="zh-CN"/>
                <w14:textFill>
                  <w14:solidFill>
                    <w14:schemeClr w14:val="tx1"/>
                  </w14:solidFill>
                </w14:textFill>
              </w:rPr>
              <w:t>吨</w:t>
            </w:r>
          </w:p>
        </w:tc>
        <w:tc>
          <w:tcPr>
            <w:tcW w:w="1190" w:type="dxa"/>
            <w:vAlign w:val="center"/>
          </w:tcPr>
          <w:p>
            <w:pPr>
              <w:spacing w:line="240" w:lineRule="auto"/>
              <w:ind w:firstLine="0" w:firstLineChars="0"/>
              <w:jc w:val="center"/>
              <w:textAlignment w:val="center"/>
              <w:rPr>
                <w:rFonts w:hint="default" w:ascii="Times New Roman" w:hAnsi="Times New Roman" w:eastAsia="宋体" w:cs="Times New Roman"/>
                <w:color w:val="000000"/>
                <w:spacing w:val="0"/>
                <w:sz w:val="24"/>
                <w:szCs w:val="24"/>
              </w:rPr>
            </w:pPr>
            <w:r>
              <w:rPr>
                <w:rFonts w:hint="default" w:ascii="Times New Roman" w:hAnsi="Times New Roman" w:eastAsia="宋体" w:cs="Times New Roman"/>
                <w:color w:val="000000"/>
                <w:spacing w:val="0"/>
                <w:sz w:val="24"/>
                <w:szCs w:val="24"/>
              </w:rPr>
              <w:t>450</w:t>
            </w:r>
          </w:p>
        </w:tc>
        <w:tc>
          <w:tcPr>
            <w:tcW w:w="1434" w:type="dxa"/>
            <w:vAlign w:val="center"/>
          </w:tcPr>
          <w:p>
            <w:pPr>
              <w:spacing w:line="240" w:lineRule="auto"/>
              <w:ind w:firstLine="0" w:firstLineChars="0"/>
              <w:jc w:val="center"/>
              <w:textAlignment w:val="center"/>
              <w:rPr>
                <w:rFonts w:hint="default" w:ascii="Times New Roman" w:hAnsi="Times New Roman" w:eastAsia="宋体" w:cs="Times New Roman"/>
                <w:color w:val="000000"/>
                <w:spacing w:val="0"/>
                <w:sz w:val="24"/>
                <w:szCs w:val="24"/>
                <w:lang w:val="en-US" w:eastAsia="zh-CN"/>
              </w:rPr>
            </w:pPr>
            <w:r>
              <w:rPr>
                <w:rFonts w:hint="default" w:ascii="Times New Roman" w:hAnsi="Times New Roman" w:eastAsia="宋体" w:cs="Times New Roman"/>
                <w:color w:val="000000"/>
                <w:spacing w:val="0"/>
                <w:sz w:val="24"/>
                <w:szCs w:val="24"/>
                <w:lang w:val="en-US" w:eastAsia="zh-CN"/>
              </w:rPr>
              <w:t>/</w:t>
            </w:r>
          </w:p>
        </w:tc>
        <w:tc>
          <w:tcPr>
            <w:tcW w:w="1387" w:type="dxa"/>
            <w:vAlign w:val="center"/>
          </w:tcPr>
          <w:p>
            <w:pPr>
              <w:spacing w:line="240" w:lineRule="auto"/>
              <w:ind w:firstLine="0" w:firstLineChars="0"/>
              <w:jc w:val="center"/>
              <w:textAlignment w:val="center"/>
              <w:rPr>
                <w:rFonts w:hint="default" w:ascii="Times New Roman" w:hAnsi="Times New Roman" w:eastAsia="宋体" w:cs="Times New Roman"/>
                <w:color w:val="000000"/>
                <w:spacing w:val="0"/>
                <w:sz w:val="24"/>
                <w:szCs w:val="24"/>
                <w:lang w:val="en-US" w:eastAsia="zh-CN"/>
              </w:rPr>
            </w:pPr>
            <w:r>
              <w:rPr>
                <w:rFonts w:hint="default" w:ascii="Times New Roman" w:hAnsi="Times New Roman" w:eastAsia="宋体" w:cs="Times New Roman"/>
                <w:color w:val="000000"/>
                <w:spacing w:val="0"/>
                <w:sz w:val="24"/>
                <w:szCs w:val="24"/>
                <w:lang w:val="en-US" w:eastAsia="zh-CN"/>
              </w:rPr>
              <w:t>/</w:t>
            </w:r>
          </w:p>
        </w:tc>
        <w:tc>
          <w:tcPr>
            <w:tcW w:w="1853" w:type="dxa"/>
            <w:vAlign w:val="center"/>
          </w:tcPr>
          <w:p>
            <w:pPr>
              <w:spacing w:line="240" w:lineRule="auto"/>
              <w:ind w:firstLine="0" w:firstLineChars="0"/>
              <w:jc w:val="center"/>
              <w:textAlignment w:val="center"/>
              <w:rPr>
                <w:rFonts w:hint="default" w:ascii="Times New Roman" w:hAnsi="Times New Roman" w:eastAsia="宋体" w:cs="Times New Roman"/>
                <w:color w:val="000000"/>
                <w:spacing w:val="0"/>
                <w:sz w:val="24"/>
                <w:szCs w:val="24"/>
                <w:lang w:val="en-US" w:eastAsia="zh-CN"/>
              </w:rPr>
            </w:pPr>
            <w:r>
              <w:rPr>
                <w:rFonts w:hint="default" w:ascii="Times New Roman" w:hAnsi="Times New Roman" w:eastAsia="宋体" w:cs="Times New Roman"/>
                <w:color w:val="000000"/>
                <w:spacing w:val="0"/>
                <w:sz w:val="24"/>
                <w:szCs w:val="24"/>
                <w:lang w:val="en-US" w:eastAsia="zh-CN"/>
              </w:rPr>
              <w:t>/</w:t>
            </w:r>
          </w:p>
        </w:tc>
      </w:tr>
    </w:tbl>
    <w:p>
      <w:pPr>
        <w:keepNext w:val="0"/>
        <w:keepLines w:val="0"/>
        <w:pageBreakBefore w:val="0"/>
        <w:widowControl/>
        <w:kinsoku/>
        <w:wordWrap/>
        <w:overflowPunct/>
        <w:topLinePunct w:val="0"/>
        <w:autoSpaceDE/>
        <w:autoSpaceDN/>
        <w:bidi w:val="0"/>
        <w:adjustRightInd/>
        <w:snapToGrid/>
        <w:spacing w:line="400" w:lineRule="exact"/>
        <w:ind w:left="0" w:right="0"/>
        <w:textAlignment w:val="auto"/>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2、价格：上述为暂定价格，双方实际结算时按如下方式计算结算单价：</w:t>
      </w:r>
    </w:p>
    <w:p>
      <w:pPr>
        <w:pStyle w:val="4"/>
        <w:keepNext w:val="0"/>
        <w:keepLines w:val="0"/>
        <w:pageBreakBefore w:val="0"/>
        <w:widowControl/>
        <w:numPr>
          <w:ilvl w:val="0"/>
          <w:numId w:val="0"/>
        </w:numPr>
        <w:kinsoku/>
        <w:wordWrap/>
        <w:overflowPunct/>
        <w:topLinePunct w:val="0"/>
        <w:autoSpaceDE/>
        <w:autoSpaceDN/>
        <w:bidi w:val="0"/>
        <w:spacing w:before="0" w:line="360" w:lineRule="auto"/>
        <w:ind w:left="0" w:leftChars="0" w:firstLine="480" w:firstLineChars="200"/>
        <w:textAlignment w:val="auto"/>
        <w:rPr>
          <w:rFonts w:hint="eastAsia"/>
          <w:lang w:eastAsia="zh-CN"/>
        </w:rPr>
      </w:pPr>
      <w:r>
        <w:rPr>
          <w:rFonts w:hint="eastAsia" w:ascii="宋体" w:hAnsi="宋体" w:eastAsia="宋体"/>
          <w:b w:val="0"/>
          <w:bCs/>
          <w:color w:val="auto"/>
          <w:szCs w:val="21"/>
          <w:highlight w:val="none"/>
        </w:rPr>
        <w:t>①HPB300直径为1</w:t>
      </w:r>
      <w:r>
        <w:rPr>
          <w:rFonts w:hint="eastAsia" w:ascii="宋体" w:hAnsi="宋体" w:eastAsia="宋体"/>
          <w:b w:val="0"/>
          <w:bCs/>
          <w:color w:val="auto"/>
          <w:szCs w:val="21"/>
          <w:highlight w:val="none"/>
          <w:lang w:val="en-US" w:eastAsia="zh-CN"/>
        </w:rPr>
        <w:t>0</w:t>
      </w:r>
      <w:r>
        <w:rPr>
          <w:rFonts w:hint="eastAsia" w:ascii="宋体" w:hAnsi="宋体" w:eastAsia="宋体"/>
          <w:b w:val="0"/>
          <w:bCs/>
          <w:color w:val="auto"/>
          <w:szCs w:val="21"/>
          <w:highlight w:val="none"/>
        </w:rPr>
        <w:t>mm的热轧光圆钢筋最终结算单价（元/吨）=订货通知单当天“我的钢铁网”第一次发布的</w:t>
      </w:r>
      <w:r>
        <w:rPr>
          <w:rFonts w:hint="eastAsia" w:ascii="宋体" w:hAnsi="宋体" w:eastAsia="宋体"/>
          <w:b/>
          <w:bCs w:val="0"/>
          <w:color w:val="auto"/>
          <w:szCs w:val="21"/>
          <w:highlight w:val="none"/>
          <w:u w:val="single"/>
        </w:rPr>
        <w:t xml:space="preserve"> </w:t>
      </w:r>
      <w:r>
        <w:rPr>
          <w:rFonts w:hint="eastAsia" w:ascii="宋体" w:hAnsi="宋体" w:eastAsia="宋体" w:cs="Arial"/>
          <w:b w:val="0"/>
          <w:bCs w:val="0"/>
          <w:color w:val="000000"/>
          <w:kern w:val="2"/>
          <w:szCs w:val="24"/>
          <w:u w:val="single"/>
        </w:rPr>
        <w:t>江苏镔鑫</w:t>
      </w:r>
      <w:r>
        <w:rPr>
          <w:rFonts w:hint="eastAsia" w:ascii="宋体" w:hAnsi="宋体" w:eastAsia="宋体"/>
          <w:b/>
          <w:bCs w:val="0"/>
          <w:color w:val="auto"/>
          <w:szCs w:val="21"/>
          <w:highlight w:val="none"/>
          <w:u w:val="single"/>
        </w:rPr>
        <w:t xml:space="preserve"> </w:t>
      </w:r>
      <w:r>
        <w:rPr>
          <w:rFonts w:hint="eastAsia" w:ascii="宋体" w:hAnsi="宋体" w:eastAsia="宋体"/>
          <w:b w:val="0"/>
          <w:bCs/>
          <w:color w:val="auto"/>
          <w:szCs w:val="21"/>
          <w:highlight w:val="none"/>
        </w:rPr>
        <w:t>该规格钢材的上海地区价格</w:t>
      </w:r>
      <w:r>
        <w:rPr>
          <w:rFonts w:hint="eastAsia" w:ascii="宋体" w:hAnsi="宋体" w:eastAsia="宋体"/>
          <w:b w:val="0"/>
          <w:bCs/>
          <w:color w:val="auto"/>
          <w:szCs w:val="21"/>
          <w:highlight w:val="none"/>
          <w:lang w:val="en-US" w:eastAsia="zh-CN"/>
        </w:rPr>
        <w:t>+（或-）</w:t>
      </w:r>
      <w:r>
        <w:rPr>
          <w:rFonts w:hint="eastAsia" w:ascii="宋体" w:hAnsi="宋体" w:eastAsia="宋体"/>
          <w:b w:val="0"/>
          <w:bCs/>
          <w:color w:val="auto"/>
          <w:szCs w:val="21"/>
          <w:highlight w:val="none"/>
          <w:u w:val="single"/>
          <w:lang w:val="en-US" w:eastAsia="zh-CN"/>
        </w:rPr>
        <w:t xml:space="preserve">    </w:t>
      </w:r>
      <w:r>
        <w:rPr>
          <w:rFonts w:hint="eastAsia" w:ascii="宋体" w:hAnsi="宋体" w:eastAsia="宋体"/>
          <w:b w:val="0"/>
          <w:bCs/>
          <w:color w:val="auto"/>
          <w:szCs w:val="21"/>
          <w:highlight w:val="none"/>
          <w:u w:val="none"/>
          <w:lang w:val="en-US" w:eastAsia="zh-CN"/>
        </w:rPr>
        <w:t>元/吨</w:t>
      </w:r>
      <w:r>
        <w:rPr>
          <w:rFonts w:hint="eastAsia" w:ascii="宋体" w:hAnsi="宋体" w:eastAsia="宋体"/>
          <w:b w:val="0"/>
          <w:bCs/>
          <w:color w:val="auto"/>
          <w:szCs w:val="21"/>
          <w:highlight w:val="none"/>
        </w:rPr>
        <w:t>；②H</w:t>
      </w:r>
      <w:r>
        <w:rPr>
          <w:rFonts w:hint="eastAsia" w:ascii="宋体" w:hAnsi="宋体" w:eastAsia="宋体"/>
          <w:b w:val="0"/>
          <w:bCs/>
          <w:color w:val="auto"/>
          <w:szCs w:val="21"/>
          <w:highlight w:val="none"/>
          <w:lang w:val="en-US" w:eastAsia="zh-CN"/>
        </w:rPr>
        <w:t>RB4</w:t>
      </w:r>
      <w:r>
        <w:rPr>
          <w:rFonts w:hint="eastAsia" w:ascii="宋体" w:hAnsi="宋体" w:eastAsia="宋体"/>
          <w:b w:val="0"/>
          <w:bCs/>
          <w:color w:val="auto"/>
          <w:szCs w:val="21"/>
          <w:highlight w:val="none"/>
        </w:rPr>
        <w:t>00直径为1</w:t>
      </w:r>
      <w:r>
        <w:rPr>
          <w:rFonts w:hint="eastAsia" w:ascii="宋体" w:hAnsi="宋体" w:eastAsia="宋体"/>
          <w:b w:val="0"/>
          <w:bCs/>
          <w:color w:val="auto"/>
          <w:szCs w:val="21"/>
          <w:highlight w:val="none"/>
          <w:lang w:val="en-US" w:eastAsia="zh-CN"/>
        </w:rPr>
        <w:t>0</w:t>
      </w:r>
      <w:r>
        <w:rPr>
          <w:rFonts w:hint="eastAsia" w:ascii="宋体" w:hAnsi="宋体" w:eastAsia="宋体"/>
          <w:b w:val="0"/>
          <w:bCs/>
          <w:color w:val="auto"/>
          <w:szCs w:val="21"/>
          <w:highlight w:val="none"/>
        </w:rPr>
        <w:t>mm的热轧</w:t>
      </w:r>
      <w:r>
        <w:rPr>
          <w:rFonts w:hint="default" w:ascii="Times New Roman" w:hAnsi="Times New Roman" w:eastAsia="宋体" w:cs="Times New Roman"/>
          <w:color w:val="000000"/>
          <w:sz w:val="24"/>
          <w:szCs w:val="24"/>
        </w:rPr>
        <w:t>带肋</w:t>
      </w:r>
      <w:r>
        <w:rPr>
          <w:rFonts w:hint="eastAsia" w:ascii="宋体" w:hAnsi="宋体" w:eastAsia="宋体"/>
          <w:b w:val="0"/>
          <w:bCs/>
          <w:color w:val="auto"/>
          <w:szCs w:val="21"/>
          <w:highlight w:val="none"/>
        </w:rPr>
        <w:t>钢筋最终结算单价（元/吨）=订货通知单当天“我的钢铁网”第一次发布的</w:t>
      </w:r>
      <w:r>
        <w:rPr>
          <w:rFonts w:hint="eastAsia" w:ascii="宋体" w:hAnsi="宋体" w:eastAsia="宋体"/>
          <w:b/>
          <w:bCs w:val="0"/>
          <w:color w:val="auto"/>
          <w:szCs w:val="21"/>
          <w:highlight w:val="none"/>
          <w:u w:val="single"/>
        </w:rPr>
        <w:t xml:space="preserve"> </w:t>
      </w:r>
      <w:r>
        <w:rPr>
          <w:rFonts w:hint="eastAsia" w:ascii="宋体" w:hAnsi="宋体" w:eastAsia="宋体" w:cs="Arial"/>
          <w:b w:val="0"/>
          <w:bCs w:val="0"/>
          <w:color w:val="000000"/>
          <w:kern w:val="2"/>
          <w:szCs w:val="24"/>
          <w:u w:val="single"/>
          <w:lang w:val="en-US" w:eastAsia="zh-CN"/>
        </w:rPr>
        <w:t>日照</w:t>
      </w:r>
      <w:r>
        <w:rPr>
          <w:rFonts w:hint="eastAsia" w:ascii="宋体" w:hAnsi="宋体" w:eastAsia="宋体"/>
          <w:b/>
          <w:bCs w:val="0"/>
          <w:color w:val="auto"/>
          <w:szCs w:val="21"/>
          <w:highlight w:val="none"/>
          <w:u w:val="single"/>
        </w:rPr>
        <w:t xml:space="preserve"> </w:t>
      </w:r>
      <w:r>
        <w:rPr>
          <w:rFonts w:hint="eastAsia" w:ascii="宋体" w:hAnsi="宋体" w:eastAsia="宋体"/>
          <w:b w:val="0"/>
          <w:bCs/>
          <w:color w:val="auto"/>
          <w:szCs w:val="21"/>
          <w:highlight w:val="none"/>
        </w:rPr>
        <w:t>该规格钢材的上海地区价格</w:t>
      </w:r>
      <w:r>
        <w:rPr>
          <w:rFonts w:hint="eastAsia" w:ascii="宋体" w:hAnsi="宋体" w:eastAsia="宋体"/>
          <w:b w:val="0"/>
          <w:bCs/>
          <w:color w:val="auto"/>
          <w:szCs w:val="21"/>
          <w:highlight w:val="none"/>
          <w:lang w:val="en-US" w:eastAsia="zh-CN"/>
        </w:rPr>
        <w:t>+（或-）</w:t>
      </w:r>
      <w:r>
        <w:rPr>
          <w:rFonts w:hint="eastAsia" w:ascii="宋体" w:hAnsi="宋体" w:eastAsia="宋体"/>
          <w:b w:val="0"/>
          <w:bCs/>
          <w:color w:val="auto"/>
          <w:szCs w:val="21"/>
          <w:highlight w:val="none"/>
          <w:u w:val="single"/>
          <w:lang w:val="en-US" w:eastAsia="zh-CN"/>
        </w:rPr>
        <w:t xml:space="preserve">    </w:t>
      </w:r>
      <w:r>
        <w:rPr>
          <w:rFonts w:hint="eastAsia" w:ascii="宋体" w:hAnsi="宋体" w:eastAsia="宋体"/>
          <w:b w:val="0"/>
          <w:bCs/>
          <w:color w:val="auto"/>
          <w:szCs w:val="21"/>
          <w:highlight w:val="none"/>
          <w:u w:val="none"/>
          <w:lang w:val="en-US" w:eastAsia="zh-CN"/>
        </w:rPr>
        <w:t>元/吨</w:t>
      </w:r>
      <w:r>
        <w:rPr>
          <w:rFonts w:hint="eastAsia" w:ascii="宋体" w:hAnsi="宋体" w:eastAsia="宋体"/>
          <w:b w:val="0"/>
          <w:bCs/>
          <w:color w:val="auto"/>
          <w:szCs w:val="21"/>
          <w:highlight w:val="none"/>
          <w:lang w:eastAsia="zh-CN"/>
        </w:rPr>
        <w:t>；</w:t>
      </w:r>
      <w:r>
        <w:rPr>
          <w:rFonts w:hint="eastAsia" w:ascii="宋体" w:hAnsi="宋体" w:eastAsia="宋体" w:cs="宋体"/>
          <w:b w:val="0"/>
          <w:bCs/>
          <w:color w:val="auto"/>
          <w:szCs w:val="21"/>
          <w:highlight w:val="none"/>
          <w:lang w:eastAsia="zh-CN"/>
        </w:rPr>
        <w:t>③</w:t>
      </w:r>
      <w:r>
        <w:rPr>
          <w:rFonts w:hint="eastAsia" w:ascii="宋体" w:hAnsi="宋体" w:eastAsia="宋体" w:cs="宋体"/>
          <w:b w:val="0"/>
          <w:bCs/>
          <w:color w:val="auto"/>
          <w:szCs w:val="21"/>
          <w:highlight w:val="none"/>
          <w:lang w:val="en-US" w:eastAsia="zh-CN"/>
        </w:rPr>
        <w:t>除</w:t>
      </w:r>
      <w:r>
        <w:rPr>
          <w:rFonts w:hint="eastAsia" w:ascii="宋体" w:hAnsi="宋体" w:eastAsia="宋体"/>
          <w:b w:val="0"/>
          <w:bCs/>
          <w:color w:val="auto"/>
          <w:szCs w:val="21"/>
          <w:highlight w:val="none"/>
        </w:rPr>
        <w:t>直径为1</w:t>
      </w:r>
      <w:r>
        <w:rPr>
          <w:rFonts w:hint="eastAsia" w:ascii="宋体" w:hAnsi="宋体" w:eastAsia="宋体"/>
          <w:b w:val="0"/>
          <w:bCs/>
          <w:color w:val="auto"/>
          <w:szCs w:val="21"/>
          <w:highlight w:val="none"/>
          <w:lang w:val="en-US" w:eastAsia="zh-CN"/>
        </w:rPr>
        <w:t>0</w:t>
      </w:r>
      <w:r>
        <w:rPr>
          <w:rFonts w:hint="eastAsia" w:ascii="宋体" w:hAnsi="宋体" w:eastAsia="宋体"/>
          <w:b w:val="0"/>
          <w:bCs/>
          <w:color w:val="auto"/>
          <w:szCs w:val="21"/>
          <w:highlight w:val="none"/>
        </w:rPr>
        <w:t>mm以外的各直径规格钢筋最终结算单价（元/吨）=订货通知单当天“我的钢铁网”第一次发布的</w:t>
      </w:r>
      <w:r>
        <w:rPr>
          <w:rFonts w:hint="eastAsia" w:ascii="宋体" w:hAnsi="宋体" w:eastAsia="宋体"/>
          <w:b/>
          <w:bCs w:val="0"/>
          <w:color w:val="auto"/>
          <w:szCs w:val="21"/>
          <w:highlight w:val="none"/>
          <w:u w:val="single"/>
        </w:rPr>
        <w:t xml:space="preserve"> </w:t>
      </w:r>
      <w:r>
        <w:rPr>
          <w:rFonts w:hint="eastAsia" w:ascii="宋体" w:hAnsi="宋体"/>
          <w:b w:val="0"/>
          <w:bCs w:val="0"/>
          <w:color w:val="000000"/>
          <w:kern w:val="2"/>
          <w:szCs w:val="24"/>
          <w:u w:val="single"/>
          <w:lang w:val="en-US" w:eastAsia="zh-CN"/>
        </w:rPr>
        <w:t>安徽富鑫</w:t>
      </w:r>
      <w:r>
        <w:rPr>
          <w:rFonts w:hint="eastAsia" w:ascii="宋体" w:hAnsi="宋体" w:eastAsia="宋体"/>
          <w:b/>
          <w:bCs w:val="0"/>
          <w:color w:val="auto"/>
          <w:szCs w:val="21"/>
          <w:highlight w:val="none"/>
          <w:u w:val="single"/>
        </w:rPr>
        <w:t xml:space="preserve"> </w:t>
      </w:r>
      <w:r>
        <w:rPr>
          <w:rFonts w:hint="eastAsia" w:ascii="宋体" w:hAnsi="宋体" w:eastAsia="宋体"/>
          <w:b w:val="0"/>
          <w:bCs/>
          <w:color w:val="auto"/>
          <w:szCs w:val="21"/>
          <w:highlight w:val="none"/>
        </w:rPr>
        <w:t>各种规格钢材的上海地区价格</w:t>
      </w:r>
      <w:r>
        <w:rPr>
          <w:rFonts w:hint="eastAsia" w:ascii="宋体" w:hAnsi="宋体" w:eastAsia="宋体"/>
          <w:b w:val="0"/>
          <w:bCs/>
          <w:color w:val="auto"/>
          <w:szCs w:val="21"/>
          <w:highlight w:val="none"/>
          <w:lang w:val="en-US" w:eastAsia="zh-CN"/>
        </w:rPr>
        <w:t>+（或-）</w:t>
      </w:r>
      <w:r>
        <w:rPr>
          <w:rFonts w:hint="eastAsia" w:ascii="宋体" w:hAnsi="宋体" w:eastAsia="宋体"/>
          <w:b w:val="0"/>
          <w:bCs/>
          <w:color w:val="auto"/>
          <w:szCs w:val="21"/>
          <w:highlight w:val="none"/>
          <w:u w:val="single"/>
          <w:lang w:val="en-US" w:eastAsia="zh-CN"/>
        </w:rPr>
        <w:t xml:space="preserve">    </w:t>
      </w:r>
      <w:r>
        <w:rPr>
          <w:rFonts w:hint="eastAsia" w:ascii="宋体" w:hAnsi="宋体" w:eastAsia="宋体"/>
          <w:b w:val="0"/>
          <w:bCs/>
          <w:color w:val="auto"/>
          <w:szCs w:val="21"/>
          <w:highlight w:val="none"/>
          <w:u w:val="none"/>
          <w:lang w:val="en-US" w:eastAsia="zh-CN"/>
        </w:rPr>
        <w:t>元/吨</w:t>
      </w:r>
      <w:r>
        <w:rPr>
          <w:rFonts w:hint="eastAsia" w:ascii="宋体" w:hAnsi="宋体" w:eastAsia="宋体"/>
          <w:b w:val="0"/>
          <w:bCs/>
          <w:color w:val="auto"/>
          <w:szCs w:val="21"/>
          <w:highlight w:val="none"/>
        </w:rPr>
        <w:t>。</w:t>
      </w:r>
    </w:p>
    <w:p>
      <w:pPr>
        <w:keepNext w:val="0"/>
        <w:keepLines w:val="0"/>
        <w:pageBreakBefore w:val="0"/>
        <w:widowControl/>
        <w:kinsoku/>
        <w:wordWrap/>
        <w:overflowPunct/>
        <w:topLinePunct w:val="0"/>
        <w:autoSpaceDE/>
        <w:autoSpaceDN/>
        <w:bidi w:val="0"/>
        <w:adjustRightInd/>
        <w:snapToGrid/>
        <w:spacing w:line="400" w:lineRule="exact"/>
        <w:ind w:left="0" w:right="0"/>
        <w:textAlignment w:val="auto"/>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3、乙方供应每批次钢筋的数量及规格须以甲方的书面通知为准，双方钢筋的结算数量以甲方实际收到的合格钢筋数量为准。</w:t>
      </w:r>
    </w:p>
    <w:p>
      <w:pPr>
        <w:keepNext w:val="0"/>
        <w:keepLines w:val="0"/>
        <w:pageBreakBefore w:val="0"/>
        <w:widowControl/>
        <w:kinsoku/>
        <w:wordWrap/>
        <w:overflowPunct/>
        <w:topLinePunct w:val="0"/>
        <w:autoSpaceDE/>
        <w:autoSpaceDN/>
        <w:bidi w:val="0"/>
        <w:adjustRightInd/>
        <w:snapToGrid/>
        <w:spacing w:line="400" w:lineRule="exact"/>
        <w:ind w:left="0" w:right="0"/>
        <w:textAlignment w:val="auto"/>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4 、钢筋的尺寸要求：钢筋长度为12m或9m,且均不加价。</w:t>
      </w:r>
    </w:p>
    <w:p>
      <w:pPr>
        <w:keepNext w:val="0"/>
        <w:keepLines w:val="0"/>
        <w:pageBreakBefore w:val="0"/>
        <w:widowControl/>
        <w:kinsoku/>
        <w:wordWrap/>
        <w:overflowPunct/>
        <w:topLinePunct w:val="0"/>
        <w:autoSpaceDE/>
        <w:autoSpaceDN/>
        <w:bidi w:val="0"/>
        <w:adjustRightInd/>
        <w:snapToGrid/>
        <w:spacing w:line="400" w:lineRule="exact"/>
        <w:ind w:left="0" w:right="0"/>
        <w:textAlignment w:val="auto"/>
        <w:rPr>
          <w:rFonts w:hint="eastAsia" w:ascii="宋体" w:hAnsi="宋体" w:eastAsia="宋体" w:cs="宋体"/>
          <w:spacing w:val="0"/>
          <w:sz w:val="24"/>
          <w:szCs w:val="24"/>
          <w:lang w:val="en-US" w:eastAsia="zh-CN"/>
        </w:rPr>
      </w:pPr>
      <w:r>
        <w:rPr>
          <w:rFonts w:hint="eastAsia" w:ascii="宋体" w:hAnsi="宋体" w:eastAsia="宋体" w:cs="宋体"/>
          <w:spacing w:val="0"/>
          <w:sz w:val="24"/>
          <w:szCs w:val="24"/>
          <w:lang w:val="en-US" w:eastAsia="zh-CN"/>
        </w:rPr>
        <w:t>5、以上双方确定的价格为乙方送货到甲方工地指定地点的价格，该价格包含已包含货款、运输费、 管理费、利润、税费，并包含钢筋装车、运输、卸车等全过程的安全保险、措施、以及如发生安全事故导 致的赔偿等全部费用，乙方不得以任何理由额外索取任何费用。乙方向甲方提供税率为13%的增值税专用发票，甲方开票信息和乙方收款信息如下：</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3"/>
        <w:gridCol w:w="4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453" w:type="dxa"/>
          </w:tcPr>
          <w:p>
            <w:pPr>
              <w:spacing w:line="240" w:lineRule="auto"/>
              <w:ind w:firstLine="0" w:firstLineChars="0"/>
              <w:jc w:val="center"/>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甲方开票信息</w:t>
            </w:r>
          </w:p>
        </w:tc>
        <w:tc>
          <w:tcPr>
            <w:tcW w:w="4453" w:type="dxa"/>
          </w:tcPr>
          <w:p>
            <w:pPr>
              <w:spacing w:line="240" w:lineRule="auto"/>
              <w:ind w:firstLine="0" w:firstLineChars="0"/>
              <w:jc w:val="center"/>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乙方收款信息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tcPr>
          <w:p>
            <w:pPr>
              <w:spacing w:line="240" w:lineRule="auto"/>
              <w:ind w:firstLine="0" w:firstLineChars="0"/>
              <w:rPr>
                <w:rFonts w:hint="eastAsia" w:ascii="宋体" w:hAnsi="宋体"/>
                <w:color w:val="000000" w:themeColor="text1"/>
                <w:sz w:val="21"/>
                <w:szCs w:val="21"/>
                <w14:textFill>
                  <w14:solidFill>
                    <w14:schemeClr w14:val="tx1"/>
                  </w14:solidFill>
                </w14:textFill>
              </w:rPr>
            </w:pPr>
            <w:r>
              <w:rPr>
                <w:rFonts w:hint="eastAsia" w:ascii="宋体" w:hAnsi="宋体"/>
                <w:szCs w:val="21"/>
              </w:rPr>
              <w:t>甲方：江苏省水利建设工程有限公司</w:t>
            </w:r>
          </w:p>
        </w:tc>
        <w:tc>
          <w:tcPr>
            <w:tcW w:w="4453" w:type="dxa"/>
          </w:tcPr>
          <w:p>
            <w:pPr>
              <w:spacing w:line="240" w:lineRule="auto"/>
              <w:ind w:firstLine="0" w:firstLineChars="0"/>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tcPr>
          <w:p>
            <w:pPr>
              <w:spacing w:line="240" w:lineRule="auto"/>
              <w:ind w:firstLine="0" w:firstLineChars="0"/>
              <w:rPr>
                <w:rFonts w:hint="eastAsia" w:ascii="宋体" w:hAnsi="宋体"/>
                <w:color w:val="000000" w:themeColor="text1"/>
                <w:sz w:val="21"/>
                <w:szCs w:val="21"/>
                <w14:textFill>
                  <w14:solidFill>
                    <w14:schemeClr w14:val="tx1"/>
                  </w14:solidFill>
                </w14:textFill>
              </w:rPr>
            </w:pPr>
            <w:r>
              <w:rPr>
                <w:rFonts w:hint="eastAsia" w:ascii="宋体" w:hAnsi="宋体"/>
                <w:szCs w:val="21"/>
              </w:rPr>
              <w:t>纳税人识别号：913200001347535697</w:t>
            </w:r>
          </w:p>
        </w:tc>
        <w:tc>
          <w:tcPr>
            <w:tcW w:w="4453" w:type="dxa"/>
          </w:tcPr>
          <w:p>
            <w:pPr>
              <w:spacing w:line="240" w:lineRule="auto"/>
              <w:ind w:firstLine="0" w:firstLineChars="0"/>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纳税人识别号：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453" w:type="dxa"/>
          </w:tcPr>
          <w:p>
            <w:pPr>
              <w:spacing w:line="240" w:lineRule="auto"/>
              <w:ind w:firstLine="0" w:firstLineChars="0"/>
              <w:rPr>
                <w:rFonts w:hint="eastAsia" w:ascii="宋体" w:hAnsi="宋体"/>
                <w:color w:val="000000" w:themeColor="text1"/>
                <w:sz w:val="21"/>
                <w:szCs w:val="21"/>
                <w14:textFill>
                  <w14:solidFill>
                    <w14:schemeClr w14:val="tx1"/>
                  </w14:solidFill>
                </w14:textFill>
              </w:rPr>
            </w:pPr>
            <w:r>
              <w:rPr>
                <w:rFonts w:hint="eastAsia" w:ascii="宋体" w:hAnsi="宋体"/>
                <w:szCs w:val="21"/>
              </w:rPr>
              <w:t>地址：扬州市广陵产业园</w:t>
            </w:r>
          </w:p>
        </w:tc>
        <w:tc>
          <w:tcPr>
            <w:tcW w:w="4453" w:type="dxa"/>
          </w:tcPr>
          <w:p>
            <w:pPr>
              <w:spacing w:line="240" w:lineRule="auto"/>
              <w:ind w:firstLine="0" w:firstLineChars="0"/>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 xml:space="preserve">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tcPr>
          <w:p>
            <w:pPr>
              <w:spacing w:line="240" w:lineRule="auto"/>
              <w:ind w:firstLine="0" w:firstLineChars="0"/>
              <w:rPr>
                <w:rFonts w:hint="eastAsia" w:ascii="宋体" w:hAnsi="宋体"/>
                <w:color w:val="000000" w:themeColor="text1"/>
                <w:sz w:val="21"/>
                <w:szCs w:val="21"/>
                <w14:textFill>
                  <w14:solidFill>
                    <w14:schemeClr w14:val="tx1"/>
                  </w14:solidFill>
                </w14:textFill>
              </w:rPr>
            </w:pPr>
            <w:r>
              <w:rPr>
                <w:rFonts w:hint="eastAsia" w:ascii="宋体" w:hAnsi="宋体"/>
                <w:szCs w:val="21"/>
              </w:rPr>
              <w:t>电话：0514-87361764</w:t>
            </w:r>
          </w:p>
        </w:tc>
        <w:tc>
          <w:tcPr>
            <w:tcW w:w="4453" w:type="dxa"/>
          </w:tcPr>
          <w:p>
            <w:pPr>
              <w:spacing w:line="240" w:lineRule="auto"/>
              <w:ind w:firstLine="0" w:firstLineChars="0"/>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453" w:type="dxa"/>
          </w:tcPr>
          <w:p>
            <w:pPr>
              <w:spacing w:line="240" w:lineRule="auto"/>
              <w:ind w:firstLine="0" w:firstLineChars="0"/>
              <w:rPr>
                <w:rFonts w:hint="eastAsia" w:ascii="宋体" w:hAnsi="宋体"/>
                <w:color w:val="000000" w:themeColor="text1"/>
                <w:sz w:val="21"/>
                <w:szCs w:val="21"/>
                <w14:textFill>
                  <w14:solidFill>
                    <w14:schemeClr w14:val="tx1"/>
                  </w14:solidFill>
                </w14:textFill>
              </w:rPr>
            </w:pPr>
            <w:r>
              <w:rPr>
                <w:rFonts w:hint="eastAsia" w:ascii="宋体" w:hAnsi="宋体"/>
                <w:szCs w:val="21"/>
              </w:rPr>
              <w:t>开户银行：建设银行扬州分行琼花支行</w:t>
            </w:r>
          </w:p>
        </w:tc>
        <w:tc>
          <w:tcPr>
            <w:tcW w:w="4453" w:type="dxa"/>
          </w:tcPr>
          <w:p>
            <w:pPr>
              <w:spacing w:line="240" w:lineRule="auto"/>
              <w:ind w:firstLine="0" w:firstLineChars="0"/>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tcPr>
          <w:p>
            <w:pPr>
              <w:spacing w:line="240" w:lineRule="auto"/>
              <w:ind w:firstLine="0" w:firstLineChars="0"/>
              <w:rPr>
                <w:rFonts w:hint="eastAsia" w:ascii="宋体" w:hAnsi="宋体"/>
                <w:color w:val="000000" w:themeColor="text1"/>
                <w:sz w:val="21"/>
                <w:szCs w:val="21"/>
                <w14:textFill>
                  <w14:solidFill>
                    <w14:schemeClr w14:val="tx1"/>
                  </w14:solidFill>
                </w14:textFill>
              </w:rPr>
            </w:pPr>
            <w:r>
              <w:rPr>
                <w:rFonts w:hint="eastAsia" w:ascii="宋体" w:hAnsi="宋体"/>
                <w:szCs w:val="21"/>
              </w:rPr>
              <w:t>银行账号：32001745736050488688</w:t>
            </w:r>
          </w:p>
        </w:tc>
        <w:tc>
          <w:tcPr>
            <w:tcW w:w="4453" w:type="dxa"/>
          </w:tcPr>
          <w:p>
            <w:pPr>
              <w:spacing w:line="240" w:lineRule="auto"/>
              <w:ind w:firstLine="0" w:firstLineChars="0"/>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银行账号：</w:t>
            </w:r>
          </w:p>
        </w:tc>
      </w:tr>
    </w:tbl>
    <w:p>
      <w:pPr>
        <w:keepNext w:val="0"/>
        <w:keepLines w:val="0"/>
        <w:pageBreakBefore w:val="0"/>
        <w:widowControl/>
        <w:numPr>
          <w:ilvl w:val="0"/>
          <w:numId w:val="0"/>
        </w:numPr>
        <w:kinsoku/>
        <w:wordWrap/>
        <w:overflowPunct/>
        <w:topLinePunct w:val="0"/>
        <w:autoSpaceDE/>
        <w:autoSpaceDN/>
        <w:bidi w:val="0"/>
        <w:adjustRightInd/>
        <w:snapToGrid/>
        <w:spacing w:before="0" w:beforeLines="50" w:after="0" w:afterLines="50" w:line="400" w:lineRule="exact"/>
        <w:ind w:left="0" w:leftChars="0" w:firstLine="0" w:firstLineChars="0"/>
        <w:textAlignment w:val="auto"/>
        <w:rPr>
          <w:rFonts w:hint="eastAsia" w:ascii="宋体" w:hAnsi="宋体" w:eastAsia="宋体" w:cs="宋体"/>
          <w:b/>
          <w:bCs/>
          <w:spacing w:val="11"/>
          <w:sz w:val="24"/>
          <w:szCs w:val="24"/>
        </w:rPr>
      </w:pPr>
      <w:r>
        <w:rPr>
          <w:rFonts w:hint="eastAsia" w:ascii="宋体" w:hAnsi="宋体" w:eastAsia="宋体" w:cs="宋体"/>
          <w:b/>
          <w:bCs/>
          <w:spacing w:val="11"/>
          <w:sz w:val="24"/>
          <w:szCs w:val="24"/>
          <w:lang w:val="en-US" w:eastAsia="zh-CN" w:bidi="ar-SA"/>
        </w:rPr>
        <w:t>三、</w:t>
      </w:r>
      <w:r>
        <w:rPr>
          <w:rFonts w:hint="eastAsia" w:ascii="宋体" w:hAnsi="宋体" w:eastAsia="宋体" w:cs="宋体"/>
          <w:b/>
          <w:bCs/>
          <w:spacing w:val="11"/>
          <w:sz w:val="24"/>
          <w:szCs w:val="24"/>
        </w:rPr>
        <w:t>质量与技术标准：</w:t>
      </w:r>
    </w:p>
    <w:p>
      <w:pPr>
        <w:keepNext w:val="0"/>
        <w:keepLines w:val="0"/>
        <w:pageBreakBefore w:val="0"/>
        <w:widowControl/>
        <w:kinsoku/>
        <w:wordWrap/>
        <w:overflowPunct/>
        <w:topLinePunct w:val="0"/>
        <w:autoSpaceDE/>
        <w:autoSpaceDN/>
        <w:bidi w:val="0"/>
        <w:adjustRightInd/>
        <w:snapToGrid/>
        <w:spacing w:line="400" w:lineRule="exact"/>
        <w:ind w:left="0" w:right="0"/>
        <w:textAlignment w:val="auto"/>
        <w:rPr>
          <w:rFonts w:hint="eastAsia" w:ascii="宋体" w:hAnsi="宋体" w:cs="宋体"/>
          <w:spacing w:val="0"/>
          <w:sz w:val="24"/>
          <w:szCs w:val="24"/>
          <w:lang w:val="en-US" w:eastAsia="zh-CN"/>
        </w:rPr>
      </w:pPr>
      <w:r>
        <w:rPr>
          <w:rFonts w:hint="eastAsia" w:ascii="宋体" w:hAnsi="宋体" w:cs="宋体"/>
          <w:spacing w:val="0"/>
          <w:sz w:val="24"/>
          <w:szCs w:val="24"/>
          <w:lang w:val="en-US" w:eastAsia="zh-CN"/>
        </w:rPr>
        <w:t>1、国家或行业的质量与技术标准；</w:t>
      </w:r>
    </w:p>
    <w:p>
      <w:pPr>
        <w:keepNext w:val="0"/>
        <w:keepLines w:val="0"/>
        <w:pageBreakBefore w:val="0"/>
        <w:widowControl/>
        <w:kinsoku/>
        <w:wordWrap/>
        <w:overflowPunct/>
        <w:topLinePunct w:val="0"/>
        <w:autoSpaceDE/>
        <w:autoSpaceDN/>
        <w:bidi w:val="0"/>
        <w:adjustRightInd/>
        <w:snapToGrid/>
        <w:spacing w:line="400" w:lineRule="exact"/>
        <w:ind w:left="0" w:right="0"/>
        <w:textAlignment w:val="auto"/>
        <w:rPr>
          <w:rFonts w:hint="eastAsia" w:ascii="宋体" w:hAnsi="宋体" w:cs="宋体"/>
          <w:spacing w:val="0"/>
          <w:sz w:val="24"/>
          <w:szCs w:val="24"/>
          <w:lang w:val="en-US" w:eastAsia="zh-CN"/>
        </w:rPr>
      </w:pPr>
      <w:r>
        <w:rPr>
          <w:rFonts w:hint="eastAsia" w:ascii="宋体" w:hAnsi="宋体" w:cs="宋体"/>
          <w:spacing w:val="0"/>
          <w:sz w:val="24"/>
          <w:szCs w:val="24"/>
          <w:lang w:val="en-US" w:eastAsia="zh-CN"/>
        </w:rPr>
        <w:t>2、本项目的特殊质量要求或标准； 所供钢筋应符合GB/1499.1—2024、GB1499.2-2024标准。</w:t>
      </w:r>
    </w:p>
    <w:p>
      <w:pPr>
        <w:keepNext w:val="0"/>
        <w:keepLines w:val="0"/>
        <w:pageBreakBefore w:val="0"/>
        <w:widowControl/>
        <w:kinsoku/>
        <w:wordWrap/>
        <w:overflowPunct/>
        <w:topLinePunct w:val="0"/>
        <w:autoSpaceDE/>
        <w:autoSpaceDN/>
        <w:bidi w:val="0"/>
        <w:adjustRightInd/>
        <w:snapToGrid/>
        <w:spacing w:line="400" w:lineRule="exact"/>
        <w:ind w:left="0" w:right="0"/>
        <w:textAlignment w:val="auto"/>
        <w:rPr>
          <w:rFonts w:hint="eastAsia" w:ascii="宋体" w:hAnsi="宋体" w:cs="宋体"/>
          <w:spacing w:val="0"/>
          <w:sz w:val="24"/>
          <w:szCs w:val="24"/>
          <w:lang w:val="en-US" w:eastAsia="zh-CN"/>
        </w:rPr>
      </w:pPr>
      <w:r>
        <w:rPr>
          <w:rFonts w:hint="eastAsia" w:ascii="宋体" w:hAnsi="宋体" w:cs="宋体"/>
          <w:spacing w:val="0"/>
          <w:sz w:val="24"/>
          <w:szCs w:val="24"/>
          <w:lang w:val="en-US" w:eastAsia="zh-CN"/>
        </w:rPr>
        <w:t>3、乙方提供的钢材必须符合招标文件的品牌要求且是投标文件列明的品牌。</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bCs/>
          <w:color w:val="000000"/>
          <w:szCs w:val="21"/>
        </w:rPr>
      </w:pPr>
      <w:r>
        <w:rPr>
          <w:rFonts w:hint="eastAsia"/>
          <w:bCs/>
          <w:color w:val="000000"/>
          <w:szCs w:val="21"/>
        </w:rPr>
        <w:t>四、合理损耗标准及计算方法：螺纹钢按理论重量计量交货，但该螺纹钢的实际负公差必须符合国家规定的质量检验标准；线材、板材等</w:t>
      </w:r>
      <w:r>
        <w:rPr>
          <w:rFonts w:hint="eastAsia"/>
          <w:bCs/>
          <w:color w:val="000000"/>
          <w:szCs w:val="21"/>
          <w:lang w:eastAsia="zh-CN"/>
        </w:rPr>
        <w:t>钢</w:t>
      </w:r>
      <w:r>
        <w:rPr>
          <w:rFonts w:hint="eastAsia"/>
          <w:bCs/>
          <w:color w:val="000000"/>
          <w:szCs w:val="21"/>
          <w:lang w:val="en-US" w:eastAsia="zh-CN"/>
        </w:rPr>
        <w:t>材</w:t>
      </w:r>
      <w:r>
        <w:rPr>
          <w:rFonts w:hint="eastAsia"/>
          <w:bCs/>
          <w:color w:val="000000"/>
          <w:szCs w:val="21"/>
        </w:rPr>
        <w:t>按磅重计量交货。</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bCs/>
          <w:color w:val="000000"/>
          <w:szCs w:val="21"/>
        </w:rPr>
      </w:pPr>
      <w:r>
        <w:rPr>
          <w:rFonts w:hint="eastAsia"/>
          <w:bCs/>
          <w:color w:val="000000"/>
          <w:szCs w:val="21"/>
        </w:rPr>
        <w:t>五、</w:t>
      </w:r>
      <w:r>
        <w:rPr>
          <w:rFonts w:hint="eastAsia"/>
          <w:bCs/>
          <w:color w:val="000000"/>
          <w:szCs w:val="21"/>
          <w:lang w:eastAsia="zh-CN"/>
        </w:rPr>
        <w:t>钢筋</w:t>
      </w:r>
      <w:r>
        <w:rPr>
          <w:rFonts w:hint="eastAsia"/>
          <w:bCs/>
          <w:color w:val="000000"/>
          <w:szCs w:val="21"/>
        </w:rPr>
        <w:t>所有权自交货时转移。</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bCs/>
          <w:color w:val="000000"/>
          <w:szCs w:val="21"/>
        </w:rPr>
      </w:pPr>
      <w:r>
        <w:rPr>
          <w:rFonts w:hint="eastAsia"/>
          <w:bCs/>
          <w:color w:val="000000"/>
          <w:szCs w:val="21"/>
        </w:rPr>
        <w:t>六、订货、收货与验收：</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color w:val="000000"/>
          <w:szCs w:val="21"/>
        </w:rPr>
      </w:pPr>
      <w:r>
        <w:rPr>
          <w:color w:val="000000"/>
          <w:szCs w:val="21"/>
        </w:rPr>
        <w:t>1</w:t>
      </w:r>
      <w:r>
        <w:rPr>
          <w:rFonts w:hint="eastAsia"/>
          <w:color w:val="000000"/>
          <w:szCs w:val="21"/>
        </w:rPr>
        <w:t>、甲方需提前</w:t>
      </w:r>
      <w:r>
        <w:rPr>
          <w:rFonts w:hint="eastAsia"/>
          <w:color w:val="000000"/>
          <w:szCs w:val="21"/>
          <w:u w:val="single"/>
        </w:rPr>
        <w:t xml:space="preserve"> </w:t>
      </w:r>
      <w:r>
        <w:rPr>
          <w:rFonts w:hint="eastAsia"/>
          <w:color w:val="000000"/>
          <w:szCs w:val="21"/>
          <w:u w:val="single"/>
          <w:lang w:val="en-US" w:eastAsia="zh-CN"/>
        </w:rPr>
        <w:t>3</w:t>
      </w:r>
      <w:r>
        <w:rPr>
          <w:rFonts w:hint="eastAsia"/>
          <w:color w:val="000000"/>
          <w:szCs w:val="21"/>
          <w:u w:val="single"/>
        </w:rPr>
        <w:t xml:space="preserve"> </w:t>
      </w:r>
      <w:r>
        <w:rPr>
          <w:rFonts w:hint="eastAsia"/>
          <w:color w:val="000000"/>
          <w:szCs w:val="21"/>
        </w:rPr>
        <w:t>天以微信（或QQ）和电话两种方式同时向乙方预报所需规格、数量等需求计划；乙方需在甲方提供计划后</w:t>
      </w:r>
      <w:r>
        <w:rPr>
          <w:rFonts w:hint="eastAsia"/>
          <w:color w:val="000000"/>
          <w:szCs w:val="21"/>
          <w:u w:val="single"/>
        </w:rPr>
        <w:t xml:space="preserve"> 3 </w:t>
      </w:r>
      <w:r>
        <w:rPr>
          <w:rFonts w:hint="eastAsia"/>
          <w:color w:val="000000"/>
          <w:szCs w:val="21"/>
        </w:rPr>
        <w:t>日内供货；如乙方未能及时供货，乙方应赔偿甲方的损失。</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color w:val="000000"/>
          <w:szCs w:val="21"/>
        </w:rPr>
      </w:pPr>
      <w:r>
        <w:rPr>
          <w:rFonts w:hint="eastAsia"/>
          <w:color w:val="000000"/>
          <w:szCs w:val="21"/>
        </w:rPr>
        <w:t>2、乙方将</w:t>
      </w:r>
      <w:r>
        <w:rPr>
          <w:rFonts w:hint="eastAsia"/>
          <w:color w:val="000000"/>
          <w:szCs w:val="21"/>
          <w:lang w:eastAsia="zh-CN"/>
        </w:rPr>
        <w:t>钢筋</w:t>
      </w:r>
      <w:r>
        <w:rPr>
          <w:rFonts w:hint="eastAsia"/>
          <w:color w:val="000000"/>
          <w:szCs w:val="21"/>
        </w:rPr>
        <w:t>送到工地指定地点时，甲方指派</w:t>
      </w:r>
      <w:r>
        <w:rPr>
          <w:rFonts w:hint="eastAsia"/>
          <w:color w:val="000000"/>
          <w:szCs w:val="21"/>
          <w:u w:val="single"/>
          <w:lang w:val="en-US" w:eastAsia="zh-CN"/>
        </w:rPr>
        <w:t xml:space="preserve">        </w:t>
      </w:r>
      <w:r>
        <w:rPr>
          <w:rFonts w:hint="eastAsia"/>
          <w:color w:val="000000"/>
          <w:szCs w:val="21"/>
        </w:rPr>
        <w:t>在工地现场签认，应核对送货签收单所载内容与实际</w:t>
      </w:r>
      <w:r>
        <w:rPr>
          <w:rFonts w:hint="eastAsia"/>
          <w:color w:val="000000"/>
          <w:szCs w:val="21"/>
          <w:lang w:eastAsia="zh-CN"/>
        </w:rPr>
        <w:t>钢筋</w:t>
      </w:r>
      <w:r>
        <w:rPr>
          <w:rFonts w:hint="eastAsia"/>
          <w:color w:val="000000"/>
          <w:szCs w:val="21"/>
        </w:rPr>
        <w:t>是否相符，如有异议需当场提出；甲方对质量有异议的可在收货后15个工作日内，以书面形式向乙方提出。</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color w:val="000000"/>
          <w:szCs w:val="21"/>
        </w:rPr>
      </w:pPr>
      <w:r>
        <w:rPr>
          <w:color w:val="000000"/>
          <w:szCs w:val="21"/>
        </w:rPr>
        <w:t>3</w:t>
      </w:r>
      <w:r>
        <w:rPr>
          <w:rFonts w:hint="eastAsia"/>
          <w:color w:val="000000"/>
          <w:szCs w:val="21"/>
        </w:rPr>
        <w:t>、乙方需随车向甲方提供</w:t>
      </w:r>
      <w:r>
        <w:rPr>
          <w:rFonts w:hint="eastAsia"/>
          <w:color w:val="000000"/>
          <w:szCs w:val="21"/>
          <w:lang w:eastAsia="zh-CN"/>
        </w:rPr>
        <w:t>钢筋</w:t>
      </w:r>
      <w:r>
        <w:rPr>
          <w:rFonts w:hint="eastAsia"/>
          <w:color w:val="000000"/>
          <w:szCs w:val="21"/>
        </w:rPr>
        <w:t>有效检测证明或合格证、质保书相关资料。甲方对乙方</w:t>
      </w:r>
      <w:r>
        <w:rPr>
          <w:rFonts w:hint="eastAsia"/>
          <w:color w:val="000000"/>
          <w:szCs w:val="21"/>
          <w:lang w:eastAsia="zh-CN"/>
        </w:rPr>
        <w:t>钢筋</w:t>
      </w:r>
      <w:r>
        <w:rPr>
          <w:rFonts w:hint="eastAsia"/>
          <w:color w:val="000000"/>
          <w:szCs w:val="21"/>
        </w:rPr>
        <w:t>进行抽样送检，抽样送检费用由甲方承担；若抽检不合格，乙方可对该批次</w:t>
      </w:r>
      <w:r>
        <w:rPr>
          <w:rFonts w:hint="eastAsia"/>
          <w:color w:val="000000"/>
          <w:szCs w:val="21"/>
          <w:lang w:eastAsia="zh-CN"/>
        </w:rPr>
        <w:t>钢筋</w:t>
      </w:r>
      <w:r>
        <w:rPr>
          <w:rFonts w:hint="eastAsia"/>
          <w:color w:val="000000"/>
          <w:szCs w:val="21"/>
        </w:rPr>
        <w:t>申请复检，复检和抽检费用由乙方承担。若复检仍不合格，乙方承诺在</w:t>
      </w:r>
      <w:r>
        <w:rPr>
          <w:color w:val="000000"/>
          <w:szCs w:val="21"/>
        </w:rPr>
        <w:t>5</w:t>
      </w:r>
      <w:r>
        <w:rPr>
          <w:rFonts w:hint="eastAsia"/>
          <w:color w:val="000000"/>
          <w:szCs w:val="21"/>
        </w:rPr>
        <w:t>个工作日内对该批次</w:t>
      </w:r>
      <w:r>
        <w:rPr>
          <w:rFonts w:hint="eastAsia"/>
          <w:color w:val="000000"/>
          <w:szCs w:val="21"/>
          <w:lang w:eastAsia="zh-CN"/>
        </w:rPr>
        <w:t>钢筋</w:t>
      </w:r>
      <w:r>
        <w:rPr>
          <w:rFonts w:hint="eastAsia"/>
          <w:color w:val="000000"/>
          <w:szCs w:val="21"/>
        </w:rPr>
        <w:t>按照甲方要求予以调换合格品或退货。选择调换合格品或退货由甲方决定，所发生的进退场运费由乙方承担。</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b/>
          <w:bCs w:val="0"/>
          <w:color w:val="000000"/>
          <w:szCs w:val="21"/>
        </w:rPr>
      </w:pPr>
      <w:r>
        <w:rPr>
          <w:rFonts w:hint="eastAsia"/>
          <w:b/>
          <w:bCs w:val="0"/>
          <w:color w:val="000000"/>
          <w:szCs w:val="21"/>
        </w:rPr>
        <w:t>七、</w:t>
      </w:r>
      <w:r>
        <w:rPr>
          <w:rFonts w:hint="eastAsia"/>
          <w:b/>
          <w:bCs w:val="0"/>
          <w:color w:val="000000"/>
          <w:szCs w:val="21"/>
          <w:lang w:eastAsia="zh-CN"/>
        </w:rPr>
        <w:t>钢筋</w:t>
      </w:r>
      <w:r>
        <w:rPr>
          <w:rFonts w:hint="eastAsia"/>
          <w:b/>
          <w:bCs w:val="0"/>
          <w:color w:val="000000"/>
          <w:szCs w:val="21"/>
        </w:rPr>
        <w:t>结算和付款方式</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2"/>
        <w:jc w:val="both"/>
        <w:textAlignment w:val="auto"/>
        <w:rPr>
          <w:b/>
          <w:color w:val="000000"/>
          <w:szCs w:val="21"/>
        </w:rPr>
      </w:pPr>
      <w:r>
        <w:rPr>
          <w:rFonts w:hint="eastAsia"/>
          <w:b/>
          <w:color w:val="000000"/>
          <w:szCs w:val="21"/>
        </w:rPr>
        <w:t>1、结算依据</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color w:val="000000"/>
          <w:szCs w:val="21"/>
        </w:rPr>
      </w:pPr>
      <w:r>
        <w:rPr>
          <w:rFonts w:hint="eastAsia"/>
          <w:color w:val="000000"/>
          <w:szCs w:val="21"/>
        </w:rPr>
        <w:t>以甲方指派的在工地现场签认的</w:t>
      </w:r>
      <w:r>
        <w:rPr>
          <w:rFonts w:hint="eastAsia"/>
          <w:color w:val="000000"/>
          <w:szCs w:val="21"/>
          <w:lang w:eastAsia="zh-CN"/>
        </w:rPr>
        <w:t>钢筋</w:t>
      </w:r>
      <w:r>
        <w:rPr>
          <w:rFonts w:hint="eastAsia"/>
          <w:color w:val="000000"/>
          <w:szCs w:val="21"/>
        </w:rPr>
        <w:t>送货签收单上的数量和双方确认的结算单价作为结算依据；非有效授权人签署的签收单一律无效；如上述指定人员发生变动，甲方将另行书面通知乙方。</w:t>
      </w:r>
    </w:p>
    <w:p>
      <w:pPr>
        <w:keepNext w:val="0"/>
        <w:keepLines w:val="0"/>
        <w:pageBreakBefore w:val="0"/>
        <w:shd w:val="clear" w:color="auto" w:fill="FFFFFF"/>
        <w:kinsoku/>
        <w:wordWrap/>
        <w:overflowPunct/>
        <w:topLinePunct w:val="0"/>
        <w:autoSpaceDE/>
        <w:autoSpaceDN/>
        <w:bidi w:val="0"/>
        <w:adjustRightInd/>
        <w:snapToGrid w:val="0"/>
        <w:spacing w:line="360" w:lineRule="auto"/>
        <w:ind w:firstLine="480"/>
        <w:jc w:val="both"/>
        <w:textAlignment w:val="auto"/>
        <w:rPr>
          <w:szCs w:val="24"/>
          <w:lang w:eastAsia="zh-Hans"/>
        </w:rPr>
      </w:pPr>
      <w:r>
        <w:rPr>
          <w:szCs w:val="24"/>
          <w:lang w:eastAsia="zh-Hans"/>
        </w:rPr>
        <w:t>按月结算，供货方在每月10日前与招标人项目部核对上月所供</w:t>
      </w:r>
      <w:r>
        <w:rPr>
          <w:rFonts w:hint="eastAsia"/>
          <w:szCs w:val="24"/>
          <w:lang w:eastAsia="zh-CN"/>
        </w:rPr>
        <w:t>钢筋</w:t>
      </w:r>
      <w:r>
        <w:rPr>
          <w:szCs w:val="24"/>
          <w:lang w:eastAsia="zh-Hans"/>
        </w:rPr>
        <w:t>数量及货款，招标人项目部凭供货方开具的</w:t>
      </w:r>
      <w:r>
        <w:rPr>
          <w:szCs w:val="24"/>
        </w:rPr>
        <w:t>税率为</w:t>
      </w:r>
      <w:r>
        <w:rPr>
          <w:szCs w:val="24"/>
          <w:u w:val="single"/>
        </w:rPr>
        <w:t>13%</w:t>
      </w:r>
      <w:r>
        <w:rPr>
          <w:szCs w:val="24"/>
          <w:lang w:eastAsia="zh-Hans"/>
        </w:rPr>
        <w:t>增值税专用发票及经双方核对一致的签收单进行结算，逾期未提交核对的签收单视同未发生。合同供货完成后进行最终结算，该最终结算除双方签字并加盖公章外，必须报招标人项目部所属分公司相关人员审批后方为有效。</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2"/>
        <w:jc w:val="both"/>
        <w:textAlignment w:val="auto"/>
        <w:rPr>
          <w:b/>
          <w:color w:val="000000"/>
          <w:szCs w:val="21"/>
        </w:rPr>
      </w:pPr>
      <w:r>
        <w:rPr>
          <w:rFonts w:hint="eastAsia"/>
          <w:b/>
          <w:color w:val="000000"/>
          <w:szCs w:val="21"/>
        </w:rPr>
        <w:t>（提醒：当项目部在工地现场授权签收的人员发生变动时，应书面通知乙方，明确变动时间、人员名单及相应的权限，并让乙方签字确认后存档。）</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2"/>
        <w:jc w:val="both"/>
        <w:textAlignment w:val="auto"/>
        <w:rPr>
          <w:color w:val="000000"/>
          <w:szCs w:val="21"/>
        </w:rPr>
      </w:pPr>
      <w:r>
        <w:rPr>
          <w:b/>
          <w:color w:val="000000"/>
          <w:szCs w:val="21"/>
        </w:rPr>
        <w:t>2</w:t>
      </w:r>
      <w:r>
        <w:rPr>
          <w:rFonts w:hint="eastAsia"/>
          <w:b/>
          <w:color w:val="000000"/>
          <w:szCs w:val="21"/>
        </w:rPr>
        <w:t>、结算方式</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color w:val="000000"/>
          <w:szCs w:val="21"/>
        </w:rPr>
      </w:pPr>
      <w:r>
        <w:rPr>
          <w:rFonts w:hint="eastAsia"/>
          <w:color w:val="000000"/>
          <w:szCs w:val="21"/>
        </w:rPr>
        <w:t>按月结算，乙方在每月</w:t>
      </w:r>
      <w:r>
        <w:rPr>
          <w:color w:val="000000"/>
          <w:szCs w:val="21"/>
        </w:rPr>
        <w:t>10</w:t>
      </w:r>
      <w:r>
        <w:rPr>
          <w:rFonts w:hint="eastAsia"/>
          <w:color w:val="000000"/>
          <w:szCs w:val="21"/>
        </w:rPr>
        <w:t>日前与甲方核对上月所供</w:t>
      </w:r>
      <w:r>
        <w:rPr>
          <w:rFonts w:hint="eastAsia"/>
          <w:color w:val="000000"/>
          <w:szCs w:val="21"/>
          <w:lang w:eastAsia="zh-CN"/>
        </w:rPr>
        <w:t>钢筋</w:t>
      </w:r>
      <w:r>
        <w:rPr>
          <w:rFonts w:hint="eastAsia"/>
          <w:color w:val="000000"/>
          <w:szCs w:val="21"/>
        </w:rPr>
        <w:t>数量及货款，甲方凭乙方开具的增值税专用发票及经双方核对一致的签收单进行结算，逾期未提交核对的签收单视同未发生。</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pPr>
      <w:r>
        <w:rPr>
          <w:rFonts w:hint="eastAsia"/>
          <w:color w:val="000000"/>
          <w:szCs w:val="21"/>
        </w:rPr>
        <w:t>乙方同时承诺：每个结算期内的所有</w:t>
      </w:r>
      <w:r>
        <w:rPr>
          <w:rFonts w:hint="eastAsia"/>
          <w:color w:val="000000"/>
          <w:szCs w:val="21"/>
          <w:lang w:eastAsia="zh-CN"/>
        </w:rPr>
        <w:t>钢筋</w:t>
      </w:r>
      <w:r>
        <w:rPr>
          <w:rFonts w:hint="eastAsia"/>
          <w:color w:val="000000"/>
          <w:szCs w:val="21"/>
        </w:rPr>
        <w:t>数量均已结报完毕，无其他争议，所结报的</w:t>
      </w:r>
      <w:r>
        <w:rPr>
          <w:rFonts w:hint="eastAsia"/>
          <w:color w:val="000000"/>
          <w:szCs w:val="21"/>
          <w:lang w:eastAsia="zh-CN"/>
        </w:rPr>
        <w:t>钢筋</w:t>
      </w:r>
      <w:r>
        <w:rPr>
          <w:rFonts w:hint="eastAsia"/>
          <w:color w:val="000000"/>
          <w:szCs w:val="21"/>
        </w:rPr>
        <w:t>数量真实有效。</w:t>
      </w:r>
      <w:r>
        <w:rPr>
          <w:szCs w:val="24"/>
          <w:lang w:eastAsia="zh-Hans"/>
        </w:rPr>
        <w:t>合同供货完成后进行最终结算，该最终结算除双方签字并加盖公章外，</w:t>
      </w:r>
      <w:r>
        <w:rPr>
          <w:rFonts w:hint="eastAsia"/>
          <w:color w:val="000000"/>
          <w:szCs w:val="21"/>
        </w:rPr>
        <w:t>必须报甲方分公司指定人员审核并签字后方为有效；分公司人员在审核时如果发现有不实数量时，应该要求双方重新核对，核对一致无争议后重新办理最终结算，该最终结算仍须经分公司审核人员签字确认后方为有效；如仍有分歧无法解决，双方均可报甲方公司财务物资部协调处置，财务物资部须在15个工作日内解决，财务物资部联系电话：0514-87361764，联系人：</w:t>
      </w:r>
      <w:r>
        <w:rPr>
          <w:rFonts w:hint="eastAsia"/>
          <w:color w:val="000000"/>
          <w:szCs w:val="21"/>
          <w:u w:val="single"/>
        </w:rPr>
        <w:t>朱丽</w:t>
      </w:r>
      <w:r>
        <w:rPr>
          <w:rFonts w:hint="eastAsia"/>
          <w:color w:val="000000"/>
          <w:szCs w:val="21"/>
        </w:rPr>
        <w:t>。</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2"/>
        <w:jc w:val="both"/>
        <w:textAlignment w:val="auto"/>
        <w:rPr>
          <w:color w:val="000000"/>
          <w:szCs w:val="21"/>
        </w:rPr>
      </w:pPr>
      <w:r>
        <w:rPr>
          <w:b/>
          <w:color w:val="000000"/>
          <w:szCs w:val="21"/>
        </w:rPr>
        <w:t>3</w:t>
      </w:r>
      <w:r>
        <w:rPr>
          <w:rFonts w:hint="eastAsia"/>
          <w:b/>
          <w:color w:val="000000"/>
          <w:szCs w:val="21"/>
        </w:rPr>
        <w:t>、付款方式</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color w:val="000000"/>
          <w:szCs w:val="21"/>
        </w:rPr>
      </w:pPr>
      <w:r>
        <w:rPr>
          <w:szCs w:val="24"/>
        </w:rPr>
        <w:t>本次采购无预付款，在双方办理结算手续后，</w:t>
      </w:r>
      <w:r>
        <w:rPr>
          <w:rFonts w:hint="eastAsia"/>
          <w:szCs w:val="24"/>
        </w:rPr>
        <w:t>甲方</w:t>
      </w:r>
      <w:r>
        <w:rPr>
          <w:szCs w:val="24"/>
        </w:rPr>
        <w:t>在收到</w:t>
      </w:r>
      <w:r>
        <w:rPr>
          <w:rFonts w:hint="eastAsia"/>
          <w:szCs w:val="24"/>
        </w:rPr>
        <w:t>乙</w:t>
      </w:r>
      <w:r>
        <w:rPr>
          <w:szCs w:val="24"/>
        </w:rPr>
        <w:t>方提供已结算货款等额的税率为13%的增值税</w:t>
      </w:r>
      <w:r>
        <w:rPr>
          <w:color w:val="000000"/>
          <w:szCs w:val="21"/>
        </w:rPr>
        <w:t>专用</w:t>
      </w:r>
      <w:r>
        <w:rPr>
          <w:szCs w:val="24"/>
        </w:rPr>
        <w:t>发票、质量证明书（</w:t>
      </w:r>
      <w:r>
        <w:rPr>
          <w:b/>
          <w:bCs/>
          <w:szCs w:val="24"/>
        </w:rPr>
        <w:t>需加盖供货方公章</w:t>
      </w:r>
      <w:r>
        <w:rPr>
          <w:szCs w:val="24"/>
        </w:rPr>
        <w:t>）、质量终身制承诺书后（</w:t>
      </w:r>
      <w:r>
        <w:rPr>
          <w:b/>
          <w:bCs/>
          <w:szCs w:val="24"/>
        </w:rPr>
        <w:t>需加盖供货方公章</w:t>
      </w:r>
      <w:r>
        <w:rPr>
          <w:szCs w:val="24"/>
        </w:rPr>
        <w:t>）等资料后7个工作日内办理汇款手续并将</w:t>
      </w:r>
      <w:r>
        <w:rPr>
          <w:rFonts w:hint="eastAsia"/>
          <w:szCs w:val="24"/>
          <w:lang w:eastAsia="zh-CN"/>
        </w:rPr>
        <w:t>钢筋</w:t>
      </w:r>
      <w:r>
        <w:rPr>
          <w:rFonts w:hint="eastAsia"/>
          <w:szCs w:val="24"/>
        </w:rPr>
        <w:t>已结算货</w:t>
      </w:r>
      <w:r>
        <w:rPr>
          <w:szCs w:val="24"/>
        </w:rPr>
        <w:t>款汇入合同</w:t>
      </w:r>
      <w:r>
        <w:rPr>
          <w:rFonts w:hint="eastAsia"/>
          <w:szCs w:val="24"/>
        </w:rPr>
        <w:t>约</w:t>
      </w:r>
      <w:r>
        <w:rPr>
          <w:szCs w:val="24"/>
        </w:rPr>
        <w:t>定的</w:t>
      </w:r>
      <w:r>
        <w:rPr>
          <w:rFonts w:hint="eastAsia"/>
          <w:szCs w:val="24"/>
        </w:rPr>
        <w:t>乙</w:t>
      </w:r>
      <w:r>
        <w:rPr>
          <w:szCs w:val="24"/>
        </w:rPr>
        <w:t>方</w:t>
      </w:r>
      <w:r>
        <w:rPr>
          <w:rFonts w:hint="eastAsia"/>
          <w:szCs w:val="24"/>
        </w:rPr>
        <w:t>银行</w:t>
      </w:r>
      <w:r>
        <w:rPr>
          <w:szCs w:val="24"/>
        </w:rPr>
        <w:t>账户。支付款项前，供货方须按付款额开具并加盖财务专用章的收款收据。</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2"/>
        <w:jc w:val="both"/>
        <w:textAlignment w:val="auto"/>
        <w:rPr>
          <w:color w:val="000000"/>
        </w:rPr>
      </w:pPr>
      <w:r>
        <w:rPr>
          <w:rFonts w:hint="eastAsia"/>
          <w:b/>
          <w:color w:val="000000"/>
          <w:szCs w:val="21"/>
        </w:rPr>
        <w:t>八、其他约定事项：</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color w:val="000000"/>
          <w:szCs w:val="21"/>
        </w:rPr>
      </w:pPr>
      <w:r>
        <w:rPr>
          <w:rFonts w:hint="eastAsia"/>
          <w:color w:val="000000"/>
          <w:szCs w:val="21"/>
        </w:rPr>
        <w:t>1、乙方的人员和车辆到达施工现场后必须服从甲方现场管理要求，遵守现场的各项安全制度，根据甲方要求将运输车辆停在指定地点；在卸货前和卸货过程中，由于乙方人员和车辆不服从甲方现场安全指挥，或不遵守甲方安全生产管理要求而造成的相关损失和责任由乙方承担。</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color w:val="000000"/>
          <w:szCs w:val="21"/>
        </w:rPr>
      </w:pPr>
      <w:r>
        <w:rPr>
          <w:rFonts w:hint="eastAsia"/>
          <w:color w:val="000000"/>
          <w:szCs w:val="21"/>
        </w:rPr>
        <w:t>2、本合同在履约过程中，如有任何调增单价、降低质量标准、提前支付货款等明显有损于甲方利益的合同条款变更事项，经双方代表共同协商一致并书面报甲方公司财务物资部签字并盖章确认后，方可另行签订书面协议，对于未经甲方公司财务物资部签字并盖章确认的明显有损于甲方利益的所有补充、变更协议无效。</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szCs w:val="21"/>
        </w:rPr>
      </w:pPr>
      <w:r>
        <w:rPr>
          <w:rFonts w:hint="eastAsia"/>
          <w:szCs w:val="21"/>
        </w:rPr>
        <w:t>3、乙方需向甲方交纳</w:t>
      </w:r>
      <w:r>
        <w:rPr>
          <w:rFonts w:hint="eastAsia"/>
          <w:b/>
          <w:bCs/>
          <w:szCs w:val="21"/>
          <w:u w:val="single"/>
          <w:lang w:val="en-US" w:eastAsia="zh-CN"/>
        </w:rPr>
        <w:t>壹</w:t>
      </w:r>
      <w:r>
        <w:rPr>
          <w:rFonts w:hint="eastAsia"/>
          <w:b/>
          <w:bCs/>
          <w:szCs w:val="21"/>
          <w:u w:val="single"/>
        </w:rPr>
        <w:t>拾</w:t>
      </w:r>
      <w:r>
        <w:rPr>
          <w:rFonts w:hint="eastAsia"/>
          <w:szCs w:val="21"/>
        </w:rPr>
        <w:t>万元</w:t>
      </w:r>
      <w:r>
        <w:rPr>
          <w:rFonts w:hint="eastAsia"/>
          <w:color w:val="000000"/>
          <w:szCs w:val="21"/>
        </w:rPr>
        <w:t>履约</w:t>
      </w:r>
      <w:r>
        <w:rPr>
          <w:rFonts w:hint="eastAsia"/>
          <w:szCs w:val="21"/>
        </w:rPr>
        <w:t>保证金（</w:t>
      </w:r>
      <w:r>
        <w:rPr>
          <w:rFonts w:hint="eastAsia"/>
          <w:b/>
          <w:bCs/>
          <w:szCs w:val="21"/>
        </w:rPr>
        <w:t>可以银行转账、现金、银行汇票、银行本票等方式缴纳，不接受其他任何方式</w:t>
      </w:r>
      <w:r>
        <w:rPr>
          <w:rFonts w:hint="eastAsia"/>
          <w:szCs w:val="21"/>
        </w:rPr>
        <w:t>），在签订合同前缴纳到位，在供货全部结束无异议后无息退还。</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rFonts w:hint="eastAsia"/>
        </w:rPr>
      </w:pPr>
      <w:r>
        <w:rPr>
          <w:rFonts w:hint="eastAsia"/>
        </w:rPr>
        <w:t>4、乙方未按“订货通知单”的规格、数量、时间要求供货，按违约处理。</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rFonts w:hint="eastAsia"/>
        </w:rPr>
      </w:pPr>
      <w:r>
        <w:rPr>
          <w:rFonts w:hint="eastAsia" w:ascii="宋体" w:hAnsi="宋体"/>
          <w:sz w:val="24"/>
          <w:szCs w:val="24"/>
        </w:rPr>
        <w:t>5、</w:t>
      </w:r>
      <w:r>
        <w:rPr>
          <w:rFonts w:hint="eastAsia" w:ascii="宋体" w:hAnsi="宋体"/>
          <w:b/>
          <w:bCs/>
          <w:color w:val="FF0000"/>
          <w:sz w:val="24"/>
          <w:szCs w:val="24"/>
        </w:rPr>
        <w:t>同一规格的钢筋供应采用同一炉批号或同一炉批号的供应量为59～60吨的几何倍数。同一规格钢筋超过120吨时，出现2次以上（含2次）同一炉批号供应量小于60吨的，第3次开始每次承担1000元违约金，上不封顶。</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2"/>
        <w:jc w:val="both"/>
        <w:textAlignment w:val="auto"/>
        <w:rPr>
          <w:b/>
          <w:bCs/>
          <w:color w:val="000000"/>
          <w:szCs w:val="21"/>
        </w:rPr>
      </w:pPr>
      <w:r>
        <w:rPr>
          <w:rFonts w:hint="eastAsia"/>
          <w:b/>
          <w:bCs/>
          <w:color w:val="000000"/>
          <w:szCs w:val="21"/>
        </w:rPr>
        <w:t>九、违约责任：</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color w:val="000000"/>
          <w:szCs w:val="21"/>
        </w:rPr>
      </w:pPr>
      <w:r>
        <w:rPr>
          <w:rFonts w:hint="eastAsia"/>
          <w:color w:val="000000"/>
          <w:szCs w:val="21"/>
          <w:lang w:val="en-US" w:eastAsia="zh-CN"/>
        </w:rPr>
        <w:t>1、</w:t>
      </w:r>
      <w:r>
        <w:rPr>
          <w:rFonts w:hint="eastAsia"/>
          <w:color w:val="000000"/>
          <w:szCs w:val="21"/>
        </w:rPr>
        <w:t>甲乙双方应该严格履行各自的义务，否则，应视为违约，违约方应向守约方赔偿损失。</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color w:val="000000"/>
          <w:szCs w:val="21"/>
        </w:rPr>
      </w:pPr>
      <w:r>
        <w:rPr>
          <w:rFonts w:hint="eastAsia"/>
          <w:color w:val="000000"/>
          <w:szCs w:val="21"/>
          <w:lang w:val="en-US" w:eastAsia="zh-CN"/>
        </w:rPr>
        <w:t>2、</w:t>
      </w:r>
      <w:r>
        <w:rPr>
          <w:rFonts w:hint="eastAsia"/>
          <w:color w:val="000000"/>
          <w:szCs w:val="21"/>
        </w:rPr>
        <w:t>如果乙方向甲方提供的</w:t>
      </w:r>
      <w:r>
        <w:rPr>
          <w:rFonts w:hint="eastAsia"/>
          <w:color w:val="000000"/>
          <w:szCs w:val="21"/>
          <w:lang w:eastAsia="zh-CN"/>
        </w:rPr>
        <w:t>钢筋</w:t>
      </w:r>
      <w:r>
        <w:rPr>
          <w:rFonts w:hint="eastAsia"/>
          <w:color w:val="000000"/>
          <w:szCs w:val="21"/>
        </w:rPr>
        <w:t>不符合本合同约定的指标，或者供货期超出甲方指定供货期3日的，甲方有权终止本合同的履行。</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rFonts w:hint="eastAsia"/>
          <w:color w:val="000000"/>
          <w:szCs w:val="21"/>
        </w:rPr>
      </w:pPr>
      <w:r>
        <w:rPr>
          <w:rFonts w:hint="eastAsia"/>
          <w:color w:val="000000"/>
          <w:szCs w:val="21"/>
          <w:lang w:val="en-US" w:eastAsia="zh-CN"/>
        </w:rPr>
        <w:t>3、</w:t>
      </w:r>
      <w:r>
        <w:rPr>
          <w:rFonts w:hint="eastAsia"/>
          <w:color w:val="000000"/>
          <w:szCs w:val="21"/>
        </w:rPr>
        <w:t>鉴于</w:t>
      </w:r>
      <w:r>
        <w:rPr>
          <w:rFonts w:hint="eastAsia"/>
          <w:color w:val="000000"/>
          <w:szCs w:val="21"/>
          <w:lang w:eastAsia="zh-CN"/>
        </w:rPr>
        <w:t>钢筋</w:t>
      </w:r>
      <w:r>
        <w:rPr>
          <w:rFonts w:hint="eastAsia"/>
          <w:color w:val="000000"/>
          <w:szCs w:val="21"/>
        </w:rPr>
        <w:t>质量在工程质量评价中的重要性，甲乙双方应严把质量关，严禁瘦身</w:t>
      </w:r>
      <w:r>
        <w:rPr>
          <w:rFonts w:hint="eastAsia"/>
          <w:color w:val="000000"/>
          <w:szCs w:val="21"/>
          <w:lang w:eastAsia="zh-CN"/>
        </w:rPr>
        <w:t>钢筋</w:t>
      </w:r>
      <w:r>
        <w:rPr>
          <w:rFonts w:hint="eastAsia"/>
          <w:color w:val="000000"/>
          <w:szCs w:val="21"/>
        </w:rPr>
        <w:t>等不合格</w:t>
      </w:r>
      <w:r>
        <w:rPr>
          <w:rFonts w:hint="eastAsia"/>
          <w:color w:val="000000"/>
          <w:szCs w:val="21"/>
          <w:lang w:eastAsia="zh-CN"/>
        </w:rPr>
        <w:t>钢筋</w:t>
      </w:r>
      <w:r>
        <w:rPr>
          <w:rFonts w:hint="eastAsia"/>
          <w:color w:val="000000"/>
          <w:szCs w:val="21"/>
        </w:rPr>
        <w:t>流入施工工地；一经发现，甲方有权单方面终止本合同、有权拒付已供货款、有权向有关部门报案。</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rFonts w:hint="eastAsia"/>
          <w:szCs w:val="21"/>
          <w:lang w:val="en-US" w:eastAsia="zh-CN"/>
        </w:rPr>
      </w:pPr>
      <w:r>
        <w:rPr>
          <w:rFonts w:hint="eastAsia"/>
          <w:szCs w:val="21"/>
          <w:lang w:val="en-US" w:eastAsia="zh-CN"/>
        </w:rPr>
        <w:t>4、</w:t>
      </w:r>
      <w:r>
        <w:rPr>
          <w:rFonts w:hint="eastAsia"/>
          <w:color w:val="FF0000"/>
          <w:szCs w:val="21"/>
          <w:lang w:eastAsia="zh-CN"/>
        </w:rPr>
        <w:t>如若供应过程中项目部查出</w:t>
      </w:r>
      <w:r>
        <w:rPr>
          <w:rFonts w:hint="eastAsia"/>
          <w:color w:val="FF0000"/>
          <w:szCs w:val="21"/>
          <w:lang w:val="en-US" w:eastAsia="zh-CN"/>
        </w:rPr>
        <w:t>乙方</w:t>
      </w:r>
      <w:r>
        <w:rPr>
          <w:rFonts w:hint="eastAsia"/>
          <w:color w:val="FF0000"/>
          <w:szCs w:val="21"/>
          <w:lang w:eastAsia="zh-CN"/>
        </w:rPr>
        <w:t>用其他劣质品牌钢筋冒充合同约定品牌的，</w:t>
      </w:r>
      <w:r>
        <w:rPr>
          <w:rFonts w:hint="eastAsia"/>
          <w:color w:val="FF0000"/>
          <w:szCs w:val="21"/>
          <w:lang w:val="en-US" w:eastAsia="zh-CN"/>
        </w:rPr>
        <w:t>甲方</w:t>
      </w:r>
      <w:r>
        <w:rPr>
          <w:rFonts w:hint="eastAsia"/>
          <w:color w:val="FF0000"/>
          <w:szCs w:val="21"/>
          <w:lang w:eastAsia="zh-CN"/>
        </w:rPr>
        <w:t>将没收其履约保证金。造成</w:t>
      </w:r>
      <w:r>
        <w:rPr>
          <w:rFonts w:hint="eastAsia"/>
          <w:color w:val="FF0000"/>
          <w:szCs w:val="21"/>
          <w:lang w:val="en-US" w:eastAsia="zh-CN"/>
        </w:rPr>
        <w:t>甲方</w:t>
      </w:r>
      <w:r>
        <w:rPr>
          <w:rFonts w:hint="eastAsia"/>
          <w:color w:val="FF0000"/>
          <w:szCs w:val="21"/>
          <w:lang w:eastAsia="zh-CN"/>
        </w:rPr>
        <w:t>相关损失的（</w:t>
      </w:r>
      <w:r>
        <w:rPr>
          <w:rFonts w:hint="eastAsia"/>
          <w:color w:val="FF0000"/>
          <w:sz w:val="24"/>
          <w:szCs w:val="24"/>
        </w:rPr>
        <w:t>包括但不限于工程产品报废、返工返修、工期延误</w:t>
      </w:r>
      <w:r>
        <w:rPr>
          <w:rFonts w:hint="eastAsia" w:ascii="Times New Roman" w:hAnsi="Times New Roman" w:cs="Times New Roman"/>
          <w:color w:val="FF0000"/>
          <w:sz w:val="24"/>
          <w:szCs w:val="24"/>
          <w:highlight w:val="none"/>
          <w:lang w:eastAsia="zh-CN"/>
        </w:rPr>
        <w:t>、</w:t>
      </w:r>
      <w:r>
        <w:rPr>
          <w:rFonts w:hint="eastAsia" w:ascii="Times New Roman" w:hAnsi="Times New Roman" w:cs="Times New Roman"/>
          <w:color w:val="FF0000"/>
          <w:sz w:val="24"/>
          <w:szCs w:val="24"/>
          <w:highlight w:val="none"/>
          <w:lang w:val="en-US" w:eastAsia="zh-CN"/>
        </w:rPr>
        <w:t>鉴定费、</w:t>
      </w:r>
      <w:r>
        <w:rPr>
          <w:rFonts w:hint="eastAsia" w:cs="Times New Roman"/>
          <w:color w:val="FF0000"/>
          <w:sz w:val="24"/>
          <w:szCs w:val="24"/>
          <w:highlight w:val="none"/>
          <w:lang w:val="en-US" w:eastAsia="zh-CN"/>
        </w:rPr>
        <w:t>诉讼费、</w:t>
      </w:r>
      <w:r>
        <w:rPr>
          <w:rFonts w:hint="eastAsia" w:ascii="Times New Roman" w:hAnsi="Times New Roman" w:cs="Times New Roman"/>
          <w:color w:val="FF0000"/>
          <w:sz w:val="24"/>
          <w:szCs w:val="24"/>
          <w:highlight w:val="none"/>
          <w:lang w:val="en-US" w:eastAsia="zh-CN"/>
        </w:rPr>
        <w:t>律师费、差旅费</w:t>
      </w:r>
      <w:r>
        <w:rPr>
          <w:rFonts w:hint="default" w:ascii="Times New Roman" w:hAnsi="Times New Roman" w:eastAsia="宋体" w:cs="Times New Roman"/>
          <w:color w:val="FF0000"/>
          <w:sz w:val="24"/>
          <w:szCs w:val="24"/>
          <w:highlight w:val="none"/>
          <w:lang w:eastAsia="zh-Hans"/>
        </w:rPr>
        <w:t>等</w:t>
      </w:r>
      <w:r>
        <w:rPr>
          <w:rFonts w:hint="default" w:ascii="Times New Roman" w:hAnsi="Times New Roman" w:eastAsia="宋体" w:cs="Times New Roman"/>
          <w:color w:val="FF0000"/>
          <w:sz w:val="24"/>
          <w:szCs w:val="24"/>
          <w:highlight w:val="none"/>
          <w:lang w:val="en-US" w:eastAsia="zh-CN"/>
        </w:rPr>
        <w:t>费用和</w:t>
      </w:r>
      <w:r>
        <w:rPr>
          <w:rFonts w:hint="default" w:ascii="Times New Roman" w:hAnsi="Times New Roman" w:eastAsia="宋体" w:cs="Times New Roman"/>
          <w:color w:val="FF0000"/>
          <w:sz w:val="24"/>
          <w:szCs w:val="24"/>
          <w:highlight w:val="none"/>
          <w:lang w:eastAsia="zh-Hans"/>
        </w:rPr>
        <w:t>损失</w:t>
      </w:r>
      <w:r>
        <w:rPr>
          <w:rFonts w:hint="eastAsia"/>
          <w:color w:val="FF0000"/>
          <w:szCs w:val="21"/>
          <w:lang w:eastAsia="zh-CN"/>
        </w:rPr>
        <w:t>），负责赔偿相关损失并承担相关责任</w:t>
      </w:r>
      <w:r>
        <w:rPr>
          <w:rFonts w:hint="eastAsia"/>
          <w:szCs w:val="21"/>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bCs/>
          <w:color w:val="000000"/>
          <w:szCs w:val="21"/>
        </w:rPr>
      </w:pPr>
      <w:r>
        <w:rPr>
          <w:rFonts w:hint="eastAsia"/>
          <w:bCs/>
          <w:color w:val="000000"/>
          <w:szCs w:val="21"/>
        </w:rPr>
        <w:t>十、解决争议的方式：</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color w:val="000000"/>
          <w:szCs w:val="21"/>
        </w:rPr>
      </w:pPr>
      <w:r>
        <w:rPr>
          <w:rFonts w:hint="eastAsia"/>
          <w:color w:val="000000"/>
          <w:szCs w:val="21"/>
        </w:rPr>
        <w:t>本合同在履行过程中如产生争议，甲、乙双方应友好协商；协商不成的，</w:t>
      </w:r>
      <w:r>
        <w:rPr>
          <w:rFonts w:hint="eastAsia" w:ascii="宋体" w:hAnsi="宋体" w:cs="宋体"/>
          <w:color w:val="000000"/>
          <w:szCs w:val="24"/>
        </w:rPr>
        <w:t>由扬州市邗江区人民法院管辖</w:t>
      </w:r>
      <w:r>
        <w:rPr>
          <w:rFonts w:hint="eastAsia"/>
          <w:color w:val="000000"/>
          <w:szCs w:val="21"/>
        </w:rPr>
        <w:t>。本合同关于争议解决方式的约定具有最高的效力，双方以后发生的补充合同、会议纪要、来往函件、发料单、结算单等涉及到争议解决方式的，均不得对抗此约定。</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bCs/>
          <w:color w:val="000000"/>
          <w:szCs w:val="21"/>
        </w:rPr>
      </w:pPr>
      <w:r>
        <w:rPr>
          <w:rFonts w:hint="eastAsia"/>
          <w:bCs/>
          <w:color w:val="000000"/>
          <w:szCs w:val="21"/>
        </w:rPr>
        <w:t>十一、本合同经甲乙双方盖章及授权签字人签字后生效，一式四份，甲方执三份，具有同等法律效力。</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bCs/>
          <w:color w:val="000000"/>
          <w:szCs w:val="21"/>
        </w:rPr>
      </w:pPr>
      <w:r>
        <w:rPr>
          <w:rFonts w:hint="eastAsia"/>
          <w:bCs/>
          <w:color w:val="000000"/>
          <w:szCs w:val="21"/>
        </w:rPr>
        <w:t>十二、本合同附件：</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color w:val="000000"/>
          <w:szCs w:val="21"/>
        </w:rPr>
      </w:pPr>
      <w:r>
        <w:rPr>
          <w:rFonts w:hint="eastAsia"/>
          <w:color w:val="000000"/>
          <w:szCs w:val="21"/>
        </w:rPr>
        <w:t>（</w:t>
      </w:r>
      <w:r>
        <w:rPr>
          <w:color w:val="000000"/>
          <w:szCs w:val="21"/>
        </w:rPr>
        <w:t>1</w:t>
      </w:r>
      <w:r>
        <w:rPr>
          <w:rFonts w:hint="eastAsia"/>
          <w:color w:val="000000"/>
          <w:szCs w:val="21"/>
        </w:rPr>
        <w:t>）甲乙双方营业执照复印件；</w:t>
      </w:r>
    </w:p>
    <w:p>
      <w:pPr>
        <w:keepNext w:val="0"/>
        <w:keepLines w:val="0"/>
        <w:pageBreakBefore w:val="0"/>
        <w:widowControl w:val="0"/>
        <w:shd w:val="clear" w:color="auto" w:fill="FFFFFF"/>
        <w:kinsoku/>
        <w:wordWrap/>
        <w:overflowPunct/>
        <w:topLinePunct w:val="0"/>
        <w:autoSpaceDE/>
        <w:autoSpaceDN/>
        <w:bidi w:val="0"/>
        <w:adjustRightInd/>
        <w:snapToGrid w:val="0"/>
        <w:spacing w:line="360" w:lineRule="auto"/>
        <w:ind w:firstLine="480"/>
        <w:jc w:val="both"/>
        <w:textAlignment w:val="auto"/>
        <w:rPr>
          <w:color w:val="000000"/>
          <w:szCs w:val="21"/>
        </w:rPr>
      </w:pPr>
      <w:r>
        <w:rPr>
          <w:rFonts w:hint="eastAsia"/>
          <w:color w:val="000000"/>
          <w:szCs w:val="21"/>
        </w:rPr>
        <w:t>（2）甲方与业主签订的主合同中</w:t>
      </w:r>
      <w:r>
        <w:rPr>
          <w:rFonts w:hint="eastAsia"/>
          <w:color w:val="000000"/>
          <w:szCs w:val="21"/>
          <w:lang w:eastAsia="zh-CN"/>
        </w:rPr>
        <w:t>钢筋</w:t>
      </w:r>
      <w:r>
        <w:rPr>
          <w:rFonts w:hint="eastAsia"/>
          <w:color w:val="000000"/>
          <w:szCs w:val="21"/>
        </w:rPr>
        <w:t>技术条款；</w:t>
      </w:r>
    </w:p>
    <w:p>
      <w:pPr>
        <w:widowControl w:val="0"/>
        <w:shd w:val="clear" w:color="auto" w:fill="FFFFFF"/>
        <w:spacing w:line="360" w:lineRule="auto"/>
        <w:ind w:firstLine="480"/>
        <w:rPr>
          <w:color w:val="000000"/>
          <w:szCs w:val="21"/>
        </w:rPr>
      </w:pPr>
    </w:p>
    <w:p>
      <w:pPr>
        <w:spacing w:line="360" w:lineRule="auto"/>
        <w:ind w:firstLine="480"/>
        <w:rPr>
          <w:color w:val="000000"/>
          <w:szCs w:val="21"/>
        </w:rPr>
      </w:pPr>
    </w:p>
    <w:p>
      <w:pPr>
        <w:tabs>
          <w:tab w:val="left" w:pos="5040"/>
        </w:tabs>
        <w:spacing w:line="480" w:lineRule="auto"/>
        <w:rPr>
          <w:color w:val="000000"/>
          <w:szCs w:val="21"/>
        </w:rPr>
      </w:pPr>
      <w:r>
        <w:rPr>
          <w:rFonts w:hint="eastAsia"/>
          <w:color w:val="000000"/>
          <w:szCs w:val="21"/>
        </w:rPr>
        <w:t>甲</w:t>
      </w:r>
      <w:r>
        <w:rPr>
          <w:color w:val="000000"/>
          <w:szCs w:val="21"/>
        </w:rPr>
        <w:t xml:space="preserve">    </w:t>
      </w:r>
      <w:r>
        <w:rPr>
          <w:rFonts w:hint="eastAsia"/>
          <w:color w:val="000000"/>
          <w:szCs w:val="21"/>
        </w:rPr>
        <w:t>方：</w:t>
      </w:r>
      <w:r>
        <w:rPr>
          <w:rFonts w:hint="eastAsia"/>
          <w:color w:val="000000"/>
          <w:szCs w:val="21"/>
        </w:rPr>
        <w:tab/>
      </w:r>
      <w:r>
        <w:rPr>
          <w:rFonts w:hint="eastAsia"/>
          <w:color w:val="000000"/>
          <w:szCs w:val="21"/>
        </w:rPr>
        <w:t xml:space="preserve">  乙</w:t>
      </w:r>
      <w:r>
        <w:rPr>
          <w:color w:val="000000"/>
          <w:szCs w:val="21"/>
        </w:rPr>
        <w:t xml:space="preserve">    </w:t>
      </w:r>
      <w:r>
        <w:rPr>
          <w:rFonts w:hint="eastAsia"/>
          <w:color w:val="000000"/>
          <w:szCs w:val="21"/>
        </w:rPr>
        <w:t>方：</w:t>
      </w:r>
    </w:p>
    <w:p>
      <w:pPr>
        <w:tabs>
          <w:tab w:val="left" w:pos="5040"/>
        </w:tabs>
        <w:spacing w:line="480" w:lineRule="auto"/>
        <w:rPr>
          <w:color w:val="000000"/>
          <w:szCs w:val="21"/>
        </w:rPr>
      </w:pPr>
      <w:r>
        <w:rPr>
          <w:rFonts w:hint="eastAsia"/>
          <w:color w:val="000000"/>
          <w:szCs w:val="21"/>
        </w:rPr>
        <w:t>地</w:t>
      </w:r>
      <w:r>
        <w:rPr>
          <w:color w:val="000000"/>
          <w:szCs w:val="21"/>
        </w:rPr>
        <w:t xml:space="preserve">    </w:t>
      </w:r>
      <w:r>
        <w:rPr>
          <w:rFonts w:hint="eastAsia"/>
          <w:color w:val="000000"/>
          <w:szCs w:val="21"/>
        </w:rPr>
        <w:t>址：</w:t>
      </w:r>
      <w:r>
        <w:rPr>
          <w:rFonts w:hint="eastAsia"/>
          <w:color w:val="000000"/>
          <w:szCs w:val="21"/>
        </w:rPr>
        <w:tab/>
      </w:r>
      <w:r>
        <w:rPr>
          <w:rFonts w:hint="eastAsia"/>
          <w:color w:val="000000"/>
          <w:szCs w:val="21"/>
        </w:rPr>
        <w:t xml:space="preserve">  地</w:t>
      </w:r>
      <w:r>
        <w:rPr>
          <w:color w:val="000000"/>
          <w:szCs w:val="21"/>
        </w:rPr>
        <w:t xml:space="preserve">    </w:t>
      </w:r>
      <w:r>
        <w:rPr>
          <w:rFonts w:hint="eastAsia"/>
          <w:color w:val="000000"/>
          <w:szCs w:val="21"/>
        </w:rPr>
        <w:t>址：</w:t>
      </w:r>
    </w:p>
    <w:p>
      <w:pPr>
        <w:tabs>
          <w:tab w:val="left" w:pos="5040"/>
        </w:tabs>
        <w:spacing w:line="480" w:lineRule="auto"/>
        <w:ind w:firstLine="480"/>
        <w:rPr>
          <w:color w:val="000000"/>
          <w:szCs w:val="21"/>
        </w:rPr>
      </w:pPr>
      <w:r>
        <w:rPr>
          <w:rFonts w:hint="eastAsia"/>
          <w:color w:val="000000"/>
          <w:szCs w:val="21"/>
        </w:rPr>
        <w:t>法定代表人：</w:t>
      </w:r>
      <w:r>
        <w:rPr>
          <w:rFonts w:hint="eastAsia"/>
          <w:color w:val="000000"/>
          <w:szCs w:val="21"/>
        </w:rPr>
        <w:tab/>
      </w:r>
      <w:r>
        <w:rPr>
          <w:rFonts w:hint="eastAsia"/>
          <w:color w:val="000000"/>
          <w:szCs w:val="21"/>
        </w:rPr>
        <w:t xml:space="preserve">  法定代表人：</w:t>
      </w:r>
    </w:p>
    <w:p>
      <w:pPr>
        <w:tabs>
          <w:tab w:val="left" w:pos="5040"/>
        </w:tabs>
        <w:spacing w:line="480" w:lineRule="auto"/>
        <w:ind w:firstLine="480"/>
        <w:rPr>
          <w:color w:val="000000"/>
          <w:szCs w:val="21"/>
        </w:rPr>
      </w:pPr>
      <w:r>
        <w:rPr>
          <w:rFonts w:hint="eastAsia"/>
          <w:color w:val="000000"/>
          <w:szCs w:val="21"/>
        </w:rPr>
        <w:t>授权委托人：</w:t>
      </w:r>
      <w:r>
        <w:rPr>
          <w:rFonts w:hint="eastAsia"/>
          <w:color w:val="000000"/>
          <w:szCs w:val="21"/>
        </w:rPr>
        <w:tab/>
      </w:r>
      <w:r>
        <w:rPr>
          <w:rFonts w:hint="eastAsia"/>
          <w:color w:val="000000"/>
          <w:szCs w:val="21"/>
        </w:rPr>
        <w:t xml:space="preserve">  授权委托人：</w:t>
      </w:r>
    </w:p>
    <w:p>
      <w:pPr>
        <w:tabs>
          <w:tab w:val="left" w:pos="5040"/>
        </w:tabs>
        <w:spacing w:line="480" w:lineRule="auto"/>
        <w:rPr>
          <w:color w:val="000000"/>
          <w:szCs w:val="21"/>
        </w:rPr>
      </w:pPr>
      <w:r>
        <w:rPr>
          <w:rFonts w:hint="eastAsia"/>
          <w:color w:val="000000"/>
          <w:szCs w:val="21"/>
        </w:rPr>
        <w:t>联系电话：</w:t>
      </w:r>
      <w:r>
        <w:rPr>
          <w:rFonts w:hint="eastAsia"/>
          <w:color w:val="000000"/>
          <w:szCs w:val="21"/>
        </w:rPr>
        <w:tab/>
      </w:r>
      <w:r>
        <w:rPr>
          <w:rFonts w:hint="eastAsia"/>
          <w:color w:val="000000"/>
          <w:szCs w:val="21"/>
        </w:rPr>
        <w:t xml:space="preserve">  联系电话：</w:t>
      </w:r>
    </w:p>
    <w:p>
      <w:pPr>
        <w:rPr>
          <w:rFonts w:hint="eastAsia"/>
          <w:szCs w:val="21"/>
        </w:rPr>
      </w:pPr>
    </w:p>
    <w:sectPr>
      <w:pgSz w:w="11910" w:h="16840"/>
      <w:pgMar w:top="1417" w:right="1134" w:bottom="1417" w:left="1134" w:header="0" w:footer="0" w:gutter="0"/>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